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85A374" w14:textId="672FCB70" w:rsidR="001A5B56" w:rsidRPr="001A5B56" w:rsidRDefault="001A5B56" w:rsidP="001A5B56">
      <w:pPr>
        <w:shd w:val="clear" w:color="auto" w:fill="FFFFFF"/>
        <w:rPr>
          <w:rFonts w:ascii="Segoe UI" w:hAnsi="Segoe UI" w:cs="Segoe UI"/>
          <w:b/>
          <w:bCs/>
          <w:color w:val="203864"/>
          <w:sz w:val="21"/>
          <w:szCs w:val="21"/>
          <w:u w:val="single"/>
          <w:lang w:eastAsia="en-GB"/>
        </w:rPr>
      </w:pPr>
      <w:r w:rsidRPr="001A5B56">
        <w:rPr>
          <w:rFonts w:ascii="Segoe UI" w:hAnsi="Segoe UI" w:cs="Segoe UI"/>
          <w:b/>
          <w:bCs/>
          <w:color w:val="203864"/>
          <w:sz w:val="21"/>
          <w:szCs w:val="21"/>
          <w:u w:val="single"/>
          <w:lang w:eastAsia="en-GB"/>
        </w:rPr>
        <w:t>Access to Antiviral Treatment when Influenza is Circulating in the Community</w:t>
      </w:r>
    </w:p>
    <w:p w14:paraId="394AAC50" w14:textId="77777777" w:rsidR="001A5B56" w:rsidRDefault="001A5B56" w:rsidP="001A5B56">
      <w:pPr>
        <w:shd w:val="clear" w:color="auto" w:fill="FFFFFF"/>
        <w:rPr>
          <w:rFonts w:ascii="Segoe UI" w:hAnsi="Segoe UI" w:cs="Segoe UI"/>
          <w:color w:val="203864"/>
          <w:sz w:val="21"/>
          <w:szCs w:val="21"/>
          <w:lang w:eastAsia="en-GB"/>
        </w:rPr>
      </w:pPr>
    </w:p>
    <w:p w14:paraId="07287957" w14:textId="33625C8F" w:rsidR="001A5B56" w:rsidRDefault="001A5B56" w:rsidP="001A5B56">
      <w:pPr>
        <w:shd w:val="clear" w:color="auto" w:fill="FFFFFF"/>
        <w:rPr>
          <w:rFonts w:ascii="Segoe UI" w:hAnsi="Segoe UI" w:cs="Segoe UI"/>
          <w:color w:val="203864"/>
          <w:sz w:val="21"/>
          <w:szCs w:val="21"/>
          <w:lang w:eastAsia="en-GB"/>
        </w:rPr>
      </w:pPr>
      <w:r>
        <w:rPr>
          <w:rFonts w:ascii="Segoe UI" w:hAnsi="Segoe UI" w:cs="Segoe UI"/>
          <w:color w:val="203864"/>
          <w:sz w:val="21"/>
          <w:szCs w:val="21"/>
          <w:lang w:eastAsia="en-GB"/>
        </w:rPr>
        <w:t xml:space="preserve">PHW surveillance data indicates that influenza is circulating within the community. Prescribers working in primary care may now prescribe, and community pharmacists may now supply, antiviral medicines (oseltamivir and zanamivir) for the prophylaxis and treatment of influenza for people in at-risk groups. </w:t>
      </w:r>
    </w:p>
    <w:p w14:paraId="36C3BBAC" w14:textId="77777777" w:rsidR="001A5B56" w:rsidRDefault="001A5B56" w:rsidP="001A5B56">
      <w:pPr>
        <w:shd w:val="clear" w:color="auto" w:fill="FFFFFF"/>
        <w:rPr>
          <w:rFonts w:ascii="Segoe UI" w:hAnsi="Segoe UI" w:cs="Segoe UI"/>
          <w:color w:val="203864"/>
          <w:sz w:val="21"/>
          <w:szCs w:val="21"/>
          <w:lang w:eastAsia="en-GB"/>
        </w:rPr>
      </w:pPr>
    </w:p>
    <w:p w14:paraId="0E0390C0" w14:textId="77777777" w:rsidR="001A5B56" w:rsidRDefault="001A5B56" w:rsidP="001A5B56">
      <w:pPr>
        <w:shd w:val="clear" w:color="auto" w:fill="FFFFFF"/>
        <w:rPr>
          <w:rFonts w:ascii="Segoe UI" w:hAnsi="Segoe UI" w:cs="Segoe UI"/>
          <w:color w:val="203864"/>
          <w:sz w:val="21"/>
          <w:szCs w:val="21"/>
          <w:lang w:eastAsia="en-GB"/>
        </w:rPr>
      </w:pPr>
      <w:r>
        <w:rPr>
          <w:rFonts w:ascii="Segoe UI" w:hAnsi="Segoe UI" w:cs="Segoe UI"/>
          <w:color w:val="203864"/>
          <w:sz w:val="21"/>
          <w:szCs w:val="21"/>
          <w:lang w:eastAsia="en-GB"/>
        </w:rPr>
        <w:t>The Medicines Management Team has put steps in place to improve access to the antiviral medicine oseltamivir, which should be prescribed for patients in clinical at-risk groups (see attached document) as well as anyone at risk of severe illness and/or complications from influenza if not treated.</w:t>
      </w:r>
    </w:p>
    <w:p w14:paraId="39D4D25E" w14:textId="77777777" w:rsidR="001A5B56" w:rsidRDefault="001A5B56" w:rsidP="001A5B56">
      <w:pPr>
        <w:shd w:val="clear" w:color="auto" w:fill="FFFFFF"/>
        <w:rPr>
          <w:rFonts w:ascii="Segoe UI" w:hAnsi="Segoe UI" w:cs="Segoe UI"/>
          <w:color w:val="203864"/>
          <w:sz w:val="21"/>
          <w:szCs w:val="21"/>
          <w:lang w:eastAsia="en-GB"/>
        </w:rPr>
      </w:pPr>
    </w:p>
    <w:p w14:paraId="349737F7" w14:textId="17D4F2A2" w:rsidR="001A5B56" w:rsidRDefault="001A5B56" w:rsidP="001A5B56">
      <w:pPr>
        <w:shd w:val="clear" w:color="auto" w:fill="FFFFFF"/>
        <w:spacing w:after="240"/>
        <w:rPr>
          <w:rFonts w:ascii="Segoe UI" w:hAnsi="Segoe UI" w:cs="Segoe UI"/>
          <w:color w:val="203864"/>
          <w:sz w:val="21"/>
          <w:szCs w:val="21"/>
          <w:lang w:eastAsia="en-GB"/>
        </w:rPr>
      </w:pPr>
      <w:r>
        <w:rPr>
          <w:rFonts w:ascii="Segoe UI" w:hAnsi="Segoe UI" w:cs="Segoe UI"/>
          <w:color w:val="203864"/>
          <w:sz w:val="21"/>
          <w:szCs w:val="21"/>
          <w:lang w:eastAsia="en-GB"/>
        </w:rPr>
        <w:t>The following pharmacies have been asked to routinely stock oseltamivir 75mg and 30mg capsules and to maintain the agreed stock levels.  These stocks are available as of today (2</w:t>
      </w:r>
      <w:r w:rsidR="00EB7D7E">
        <w:rPr>
          <w:rFonts w:ascii="Segoe UI" w:hAnsi="Segoe UI" w:cs="Segoe UI"/>
          <w:color w:val="203864"/>
          <w:sz w:val="21"/>
          <w:szCs w:val="21"/>
          <w:lang w:eastAsia="en-GB"/>
        </w:rPr>
        <w:t>3</w:t>
      </w:r>
      <w:r w:rsidR="00EB7D7E">
        <w:rPr>
          <w:rFonts w:ascii="Segoe UI" w:hAnsi="Segoe UI" w:cs="Segoe UI"/>
          <w:color w:val="203864"/>
          <w:sz w:val="21"/>
          <w:szCs w:val="21"/>
          <w:vertAlign w:val="superscript"/>
          <w:lang w:eastAsia="en-GB"/>
        </w:rPr>
        <w:t>rd</w:t>
      </w:r>
      <w:r>
        <w:rPr>
          <w:rFonts w:ascii="Segoe UI" w:hAnsi="Segoe UI" w:cs="Segoe UI"/>
          <w:color w:val="203864"/>
          <w:sz w:val="21"/>
          <w:szCs w:val="21"/>
          <w:lang w:eastAsia="en-GB"/>
        </w:rPr>
        <w:t xml:space="preserve"> December</w:t>
      </w:r>
      <w:r w:rsidR="00EB7D7E">
        <w:rPr>
          <w:rFonts w:ascii="Segoe UI" w:hAnsi="Segoe UI" w:cs="Segoe UI"/>
          <w:color w:val="203864"/>
          <w:sz w:val="21"/>
          <w:szCs w:val="21"/>
          <w:lang w:eastAsia="en-GB"/>
        </w:rPr>
        <w:t xml:space="preserve"> 2024</w:t>
      </w:r>
      <w:r>
        <w:rPr>
          <w:rFonts w:ascii="Segoe UI" w:hAnsi="Segoe UI" w:cs="Segoe UI"/>
          <w:color w:val="203864"/>
          <w:sz w:val="21"/>
          <w:szCs w:val="21"/>
          <w:lang w:eastAsia="en-GB"/>
        </w:rPr>
        <w:t xml:space="preserve">): </w:t>
      </w:r>
    </w:p>
    <w:tbl>
      <w:tblPr>
        <w:tblW w:w="0" w:type="auto"/>
        <w:tblCellMar>
          <w:left w:w="0" w:type="dxa"/>
          <w:right w:w="0" w:type="dxa"/>
        </w:tblCellMar>
        <w:tblLook w:val="04A0" w:firstRow="1" w:lastRow="0" w:firstColumn="1" w:lastColumn="0" w:noHBand="0" w:noVBand="1"/>
      </w:tblPr>
      <w:tblGrid>
        <w:gridCol w:w="3006"/>
        <w:gridCol w:w="4338"/>
        <w:gridCol w:w="1662"/>
      </w:tblGrid>
      <w:tr w:rsidR="001A5B56" w14:paraId="2B48BA4A" w14:textId="77777777" w:rsidTr="001A5B56">
        <w:trPr>
          <w:trHeight w:val="734"/>
        </w:trPr>
        <w:tc>
          <w:tcPr>
            <w:tcW w:w="3116"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284AD413" w14:textId="77777777" w:rsidR="001A5B56" w:rsidRDefault="001A5B56">
            <w:pPr>
              <w:spacing w:line="252" w:lineRule="auto"/>
              <w:jc w:val="center"/>
              <w:rPr>
                <w:rFonts w:ascii="Segoe UI" w:hAnsi="Segoe UI" w:cs="Segoe UI"/>
                <w:b/>
                <w:bCs/>
                <w:color w:val="203864"/>
                <w:sz w:val="21"/>
                <w:szCs w:val="21"/>
                <w:lang w:eastAsia="en-GB"/>
                <w14:ligatures w14:val="standardContextual"/>
              </w:rPr>
            </w:pPr>
            <w:r>
              <w:rPr>
                <w:rFonts w:ascii="Segoe UI" w:hAnsi="Segoe UI" w:cs="Segoe UI"/>
                <w:b/>
                <w:bCs/>
                <w:color w:val="203864"/>
                <w:sz w:val="21"/>
                <w:szCs w:val="21"/>
                <w:lang w:eastAsia="en-GB"/>
                <w14:ligatures w14:val="standardContextual"/>
              </w:rPr>
              <w:t>Pharmacy</w:t>
            </w:r>
          </w:p>
        </w:tc>
        <w:tc>
          <w:tcPr>
            <w:tcW w:w="4533"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59B6B278" w14:textId="77777777" w:rsidR="001A5B56" w:rsidRDefault="001A5B56">
            <w:pPr>
              <w:spacing w:line="252" w:lineRule="auto"/>
              <w:jc w:val="center"/>
              <w:rPr>
                <w:rFonts w:ascii="Segoe UI" w:hAnsi="Segoe UI" w:cs="Segoe UI"/>
                <w:b/>
                <w:bCs/>
                <w:color w:val="203864"/>
                <w:sz w:val="21"/>
                <w:szCs w:val="21"/>
                <w:lang w:eastAsia="en-GB"/>
                <w14:ligatures w14:val="standardContextual"/>
              </w:rPr>
            </w:pPr>
            <w:r>
              <w:rPr>
                <w:rFonts w:ascii="Segoe UI" w:hAnsi="Segoe UI" w:cs="Segoe UI"/>
                <w:b/>
                <w:bCs/>
                <w:color w:val="203864"/>
                <w:sz w:val="21"/>
                <w:szCs w:val="21"/>
                <w:lang w:eastAsia="en-GB"/>
                <w14:ligatures w14:val="standardContextual"/>
              </w:rPr>
              <w:t>Product</w:t>
            </w:r>
          </w:p>
        </w:tc>
        <w:tc>
          <w:tcPr>
            <w:tcW w:w="1701"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50E99011" w14:textId="77777777" w:rsidR="001A5B56" w:rsidRDefault="001A5B56">
            <w:pPr>
              <w:spacing w:line="252" w:lineRule="auto"/>
              <w:jc w:val="center"/>
              <w:rPr>
                <w:rFonts w:ascii="Segoe UI" w:hAnsi="Segoe UI" w:cs="Segoe UI"/>
                <w:b/>
                <w:bCs/>
                <w:color w:val="203864"/>
                <w:sz w:val="21"/>
                <w:szCs w:val="21"/>
                <w:lang w:eastAsia="en-GB"/>
                <w14:ligatures w14:val="standardContextual"/>
              </w:rPr>
            </w:pPr>
            <w:r>
              <w:rPr>
                <w:rFonts w:ascii="Segoe UI" w:hAnsi="Segoe UI" w:cs="Segoe UI"/>
                <w:b/>
                <w:bCs/>
                <w:color w:val="203864"/>
                <w:sz w:val="21"/>
                <w:szCs w:val="21"/>
                <w:lang w:eastAsia="en-GB"/>
                <w14:ligatures w14:val="standardContextual"/>
              </w:rPr>
              <w:t>Quantity (packs)</w:t>
            </w:r>
          </w:p>
        </w:tc>
      </w:tr>
      <w:tr w:rsidR="001A5B56" w14:paraId="0E8592E4" w14:textId="77777777" w:rsidTr="001A5B56">
        <w:trPr>
          <w:trHeight w:val="1725"/>
        </w:trPr>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01F61C1"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Well</w:t>
            </w:r>
          </w:p>
          <w:p w14:paraId="6EF5FDC8"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The Bulwark</w:t>
            </w:r>
          </w:p>
          <w:p w14:paraId="6E15C53C"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Brecon</w:t>
            </w:r>
          </w:p>
          <w:p w14:paraId="543C7812"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LD3 7AL</w:t>
            </w:r>
          </w:p>
          <w:p w14:paraId="2ED72C52" w14:textId="77777777" w:rsidR="001A5B56" w:rsidRDefault="001A5B56">
            <w:pPr>
              <w:pStyle w:val="NoSpacing"/>
              <w:spacing w:line="252" w:lineRule="auto"/>
              <w:rPr>
                <w:rFonts w:ascii="Segoe UI" w:hAnsi="Segoe UI" w:cs="Segoe UI"/>
                <w:b/>
                <w:bCs/>
                <w:color w:val="203864"/>
                <w:lang w:eastAsia="en-GB"/>
                <w14:ligatures w14:val="standardContextual"/>
              </w:rPr>
            </w:pPr>
            <w:r>
              <w:rPr>
                <w:rFonts w:ascii="Segoe UI" w:hAnsi="Segoe UI" w:cs="Segoe UI"/>
                <w:b/>
                <w:bCs/>
                <w:color w:val="203864"/>
                <w:lang w:eastAsia="en-GB"/>
                <w14:ligatures w14:val="standardContextual"/>
              </w:rPr>
              <w:t>01874 622789</w:t>
            </w:r>
          </w:p>
        </w:tc>
        <w:tc>
          <w:tcPr>
            <w:tcW w:w="453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CC2134" w14:textId="77777777" w:rsidR="001A5B56" w:rsidRDefault="001A5B56">
            <w:pPr>
              <w:spacing w:after="240" w:line="252" w:lineRule="auto"/>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Oseltamivir 75mg Capsules (10) </w:t>
            </w:r>
            <w:r>
              <w:rPr>
                <w:rFonts w:ascii="Segoe UI" w:hAnsi="Segoe UI" w:cs="Segoe UI"/>
                <w:i/>
                <w:iCs/>
                <w:color w:val="203864"/>
                <w:sz w:val="21"/>
                <w:szCs w:val="21"/>
                <w:lang w:eastAsia="en-GB"/>
                <w14:ligatures w14:val="standardContextual"/>
              </w:rPr>
              <w:t>(Tamiflu)</w:t>
            </w:r>
            <w:r>
              <w:rPr>
                <w:rFonts w:ascii="Segoe UI" w:hAnsi="Segoe UI" w:cs="Segoe UI"/>
                <w:color w:val="203864"/>
                <w:sz w:val="21"/>
                <w:szCs w:val="21"/>
                <w:lang w:eastAsia="en-GB"/>
                <w14:ligatures w14:val="standardContextual"/>
              </w:rPr>
              <w:t xml:space="preserve"> </w:t>
            </w:r>
          </w:p>
          <w:p w14:paraId="25229272" w14:textId="77777777" w:rsidR="001A5B56" w:rsidRDefault="001A5B56">
            <w:pPr>
              <w:spacing w:after="240" w:line="252" w:lineRule="auto"/>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Oseltamivir 30mg Capsules (10) </w:t>
            </w:r>
            <w:r>
              <w:rPr>
                <w:rFonts w:ascii="Segoe UI" w:hAnsi="Segoe UI" w:cs="Segoe UI"/>
                <w:i/>
                <w:iCs/>
                <w:color w:val="203864"/>
                <w:sz w:val="21"/>
                <w:szCs w:val="21"/>
                <w:lang w:eastAsia="en-GB"/>
                <w14:ligatures w14:val="standardContextual"/>
              </w:rPr>
              <w:t>(Tamiflu)</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58EEFD" w14:textId="77777777" w:rsidR="001A5B56" w:rsidRDefault="001A5B56">
            <w:pPr>
              <w:spacing w:after="240" w:line="252" w:lineRule="auto"/>
              <w:jc w:val="center"/>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20</w:t>
            </w:r>
          </w:p>
          <w:p w14:paraId="00D53602" w14:textId="77777777" w:rsidR="001A5B56" w:rsidRDefault="001A5B56">
            <w:pPr>
              <w:spacing w:after="240" w:line="252" w:lineRule="auto"/>
              <w:jc w:val="center"/>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10</w:t>
            </w:r>
          </w:p>
        </w:tc>
      </w:tr>
      <w:tr w:rsidR="001A5B56" w14:paraId="7B713447" w14:textId="77777777" w:rsidTr="001A5B56">
        <w:trPr>
          <w:trHeight w:val="1693"/>
        </w:trPr>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560F618"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Lakeside Pharmacy</w:t>
            </w:r>
          </w:p>
          <w:p w14:paraId="63CDBDB6"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Princess Avenue</w:t>
            </w:r>
          </w:p>
          <w:p w14:paraId="66F3E025"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Llandrindod Wells</w:t>
            </w:r>
          </w:p>
          <w:p w14:paraId="34EAD8B0"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LD1 5HU</w:t>
            </w:r>
          </w:p>
          <w:p w14:paraId="3087AB55" w14:textId="77777777" w:rsidR="001A5B56" w:rsidRDefault="001A5B56">
            <w:pPr>
              <w:pStyle w:val="NoSpacing"/>
              <w:spacing w:line="252" w:lineRule="auto"/>
              <w:rPr>
                <w:rFonts w:ascii="Segoe UI" w:hAnsi="Segoe UI" w:cs="Segoe UI"/>
                <w:b/>
                <w:bCs/>
                <w:color w:val="203864"/>
                <w:lang w:eastAsia="en-GB"/>
                <w14:ligatures w14:val="standardContextual"/>
              </w:rPr>
            </w:pPr>
            <w:r>
              <w:rPr>
                <w:rFonts w:ascii="Segoe UI" w:hAnsi="Segoe UI" w:cs="Segoe UI"/>
                <w:b/>
                <w:bCs/>
                <w:color w:val="203864"/>
                <w:lang w:eastAsia="en-GB"/>
                <w14:ligatures w14:val="standardContextual"/>
              </w:rPr>
              <w:t>01597 822174</w:t>
            </w:r>
          </w:p>
        </w:tc>
        <w:tc>
          <w:tcPr>
            <w:tcW w:w="453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C4BC16" w14:textId="77777777" w:rsidR="001A5B56" w:rsidRDefault="001A5B56">
            <w:pPr>
              <w:spacing w:after="240" w:line="252" w:lineRule="auto"/>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Oseltamivir 75mg Capsules (10) </w:t>
            </w:r>
            <w:r>
              <w:rPr>
                <w:rFonts w:ascii="Segoe UI" w:hAnsi="Segoe UI" w:cs="Segoe UI"/>
                <w:i/>
                <w:iCs/>
                <w:color w:val="203864"/>
                <w:sz w:val="21"/>
                <w:szCs w:val="21"/>
                <w:lang w:eastAsia="en-GB"/>
                <w14:ligatures w14:val="standardContextual"/>
              </w:rPr>
              <w:t>(Tamiflu)</w:t>
            </w:r>
            <w:r>
              <w:rPr>
                <w:rFonts w:ascii="Segoe UI" w:hAnsi="Segoe UI" w:cs="Segoe UI"/>
                <w:color w:val="203864"/>
                <w:sz w:val="21"/>
                <w:szCs w:val="21"/>
                <w:lang w:eastAsia="en-GB"/>
                <w14:ligatures w14:val="standardContextual"/>
              </w:rPr>
              <w:t xml:space="preserve"> </w:t>
            </w:r>
          </w:p>
          <w:p w14:paraId="19707A87" w14:textId="77777777" w:rsidR="001A5B56" w:rsidRDefault="001A5B56">
            <w:pPr>
              <w:spacing w:after="240" w:line="252" w:lineRule="auto"/>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Oseltamivir 30mg Capsules (10) </w:t>
            </w:r>
            <w:r>
              <w:rPr>
                <w:rFonts w:ascii="Segoe UI" w:hAnsi="Segoe UI" w:cs="Segoe UI"/>
                <w:i/>
                <w:iCs/>
                <w:color w:val="203864"/>
                <w:sz w:val="21"/>
                <w:szCs w:val="21"/>
                <w:lang w:eastAsia="en-GB"/>
                <w14:ligatures w14:val="standardContextual"/>
              </w:rPr>
              <w:t>(Tamiflu)</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193B0D" w14:textId="77777777" w:rsidR="001A5B56" w:rsidRDefault="001A5B56">
            <w:pPr>
              <w:spacing w:after="240" w:line="252" w:lineRule="auto"/>
              <w:jc w:val="center"/>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20</w:t>
            </w:r>
          </w:p>
          <w:p w14:paraId="61FB296D" w14:textId="77777777" w:rsidR="001A5B56" w:rsidRDefault="001A5B56">
            <w:pPr>
              <w:spacing w:after="240" w:line="252" w:lineRule="auto"/>
              <w:jc w:val="center"/>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10</w:t>
            </w:r>
          </w:p>
        </w:tc>
      </w:tr>
      <w:tr w:rsidR="001A5B56" w14:paraId="3389860E" w14:textId="77777777" w:rsidTr="001A5B56">
        <w:trPr>
          <w:trHeight w:val="1675"/>
        </w:trPr>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0EF8765"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Morrisons Pharmacy</w:t>
            </w:r>
          </w:p>
          <w:p w14:paraId="402A146B"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Pool Road</w:t>
            </w:r>
          </w:p>
          <w:p w14:paraId="295E27D6"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Newtown</w:t>
            </w:r>
          </w:p>
          <w:p w14:paraId="1C2B03DA" w14:textId="77777777" w:rsidR="001A5B56" w:rsidRDefault="001A5B56">
            <w:pPr>
              <w:pStyle w:val="NoSpacing"/>
              <w:spacing w:line="252" w:lineRule="auto"/>
              <w:rPr>
                <w:rFonts w:ascii="Segoe UI" w:hAnsi="Segoe UI" w:cs="Segoe UI"/>
                <w:color w:val="203864"/>
                <w:lang w:eastAsia="en-GB"/>
                <w14:ligatures w14:val="standardContextual"/>
              </w:rPr>
            </w:pPr>
            <w:r>
              <w:rPr>
                <w:rFonts w:ascii="Segoe UI" w:hAnsi="Segoe UI" w:cs="Segoe UI"/>
                <w:color w:val="203864"/>
                <w:lang w:eastAsia="en-GB"/>
                <w14:ligatures w14:val="standardContextual"/>
              </w:rPr>
              <w:t>SY16 3AH</w:t>
            </w:r>
          </w:p>
          <w:p w14:paraId="393F8422" w14:textId="77777777" w:rsidR="001A5B56" w:rsidRDefault="001A5B56">
            <w:pPr>
              <w:pStyle w:val="NoSpacing"/>
              <w:spacing w:line="252" w:lineRule="auto"/>
              <w:rPr>
                <w:rFonts w:ascii="Segoe UI" w:hAnsi="Segoe UI" w:cs="Segoe UI"/>
                <w:b/>
                <w:bCs/>
                <w:color w:val="203864"/>
                <w:lang w:eastAsia="en-GB"/>
                <w14:ligatures w14:val="standardContextual"/>
              </w:rPr>
            </w:pPr>
            <w:r>
              <w:rPr>
                <w:rFonts w:ascii="Segoe UI" w:hAnsi="Segoe UI" w:cs="Segoe UI"/>
                <w:b/>
                <w:bCs/>
                <w:color w:val="203864"/>
                <w:lang w:eastAsia="en-GB"/>
                <w14:ligatures w14:val="standardContextual"/>
              </w:rPr>
              <w:t>01686 628764</w:t>
            </w:r>
          </w:p>
        </w:tc>
        <w:tc>
          <w:tcPr>
            <w:tcW w:w="453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BCE032" w14:textId="77777777" w:rsidR="001A5B56" w:rsidRDefault="001A5B56">
            <w:pPr>
              <w:spacing w:after="240" w:line="252" w:lineRule="auto"/>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Oseltamivir 75mg Capsules (10) </w:t>
            </w:r>
            <w:r>
              <w:rPr>
                <w:rFonts w:ascii="Segoe UI" w:hAnsi="Segoe UI" w:cs="Segoe UI"/>
                <w:i/>
                <w:iCs/>
                <w:color w:val="203864"/>
                <w:sz w:val="21"/>
                <w:szCs w:val="21"/>
                <w:lang w:eastAsia="en-GB"/>
                <w14:ligatures w14:val="standardContextual"/>
              </w:rPr>
              <w:t>(Tamiflu)</w:t>
            </w:r>
            <w:r>
              <w:rPr>
                <w:rFonts w:ascii="Segoe UI" w:hAnsi="Segoe UI" w:cs="Segoe UI"/>
                <w:color w:val="203864"/>
                <w:sz w:val="21"/>
                <w:szCs w:val="21"/>
                <w:lang w:eastAsia="en-GB"/>
                <w14:ligatures w14:val="standardContextual"/>
              </w:rPr>
              <w:t xml:space="preserve"> </w:t>
            </w:r>
          </w:p>
          <w:p w14:paraId="6CF1C1D1" w14:textId="77777777" w:rsidR="001A5B56" w:rsidRDefault="001A5B56">
            <w:pPr>
              <w:spacing w:after="240" w:line="252" w:lineRule="auto"/>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Oseltamivir 30mg Capsules (10) </w:t>
            </w:r>
            <w:r>
              <w:rPr>
                <w:rFonts w:ascii="Segoe UI" w:hAnsi="Segoe UI" w:cs="Segoe UI"/>
                <w:i/>
                <w:iCs/>
                <w:color w:val="203864"/>
                <w:sz w:val="21"/>
                <w:szCs w:val="21"/>
                <w:lang w:eastAsia="en-GB"/>
                <w14:ligatures w14:val="standardContextual"/>
              </w:rPr>
              <w:t>(Tamiflu)</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A55F19" w14:textId="77777777" w:rsidR="001A5B56" w:rsidRDefault="001A5B56">
            <w:pPr>
              <w:spacing w:after="240" w:line="252" w:lineRule="auto"/>
              <w:jc w:val="center"/>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20</w:t>
            </w:r>
          </w:p>
          <w:p w14:paraId="103DF26A" w14:textId="77777777" w:rsidR="001A5B56" w:rsidRDefault="001A5B56">
            <w:pPr>
              <w:spacing w:after="240" w:line="252" w:lineRule="auto"/>
              <w:jc w:val="center"/>
              <w:rPr>
                <w:rFonts w:ascii="Segoe UI" w:hAnsi="Segoe UI" w:cs="Segoe UI"/>
                <w:color w:val="203864"/>
                <w:sz w:val="21"/>
                <w:szCs w:val="21"/>
                <w:lang w:eastAsia="en-GB"/>
                <w14:ligatures w14:val="standardContextual"/>
              </w:rPr>
            </w:pPr>
            <w:r>
              <w:rPr>
                <w:rFonts w:ascii="Segoe UI" w:hAnsi="Segoe UI" w:cs="Segoe UI"/>
                <w:color w:val="203864"/>
                <w:sz w:val="21"/>
                <w:szCs w:val="21"/>
                <w:lang w:eastAsia="en-GB"/>
                <w14:ligatures w14:val="standardContextual"/>
              </w:rPr>
              <w:t>10</w:t>
            </w:r>
          </w:p>
        </w:tc>
      </w:tr>
    </w:tbl>
    <w:p w14:paraId="3DE88DBE" w14:textId="77777777" w:rsidR="001A5B56" w:rsidRDefault="001A5B56" w:rsidP="001A5B56">
      <w:pPr>
        <w:shd w:val="clear" w:color="auto" w:fill="FFFFFF"/>
        <w:rPr>
          <w:rFonts w:ascii="Segoe UI" w:hAnsi="Segoe UI" w:cs="Segoe UI"/>
          <w:color w:val="203864"/>
          <w:sz w:val="21"/>
          <w:szCs w:val="21"/>
          <w:u w:val="single"/>
          <w:lang w:eastAsia="en-GB"/>
        </w:rPr>
      </w:pPr>
    </w:p>
    <w:p w14:paraId="1D9296E1" w14:textId="77777777" w:rsidR="001A5B56" w:rsidRDefault="001A5B56" w:rsidP="001A5B56">
      <w:pPr>
        <w:shd w:val="clear" w:color="auto" w:fill="FFFFFF"/>
        <w:spacing w:after="240"/>
        <w:rPr>
          <w:rFonts w:ascii="Segoe UI" w:hAnsi="Segoe UI" w:cs="Segoe UI"/>
          <w:color w:val="203864"/>
          <w:sz w:val="21"/>
          <w:szCs w:val="21"/>
          <w:lang w:eastAsia="en-GB"/>
        </w:rPr>
      </w:pPr>
      <w:r>
        <w:rPr>
          <w:rFonts w:ascii="Segoe UI" w:hAnsi="Segoe UI" w:cs="Segoe UI"/>
          <w:b/>
          <w:bCs/>
          <w:color w:val="203864"/>
          <w:sz w:val="21"/>
          <w:szCs w:val="21"/>
          <w:lang w:eastAsia="en-GB"/>
        </w:rPr>
        <w:t xml:space="preserve">Given the relatively short window of opportunity to treat or prevent influenza, timely access to antiviral treatment is particularly important.  </w:t>
      </w:r>
      <w:r>
        <w:rPr>
          <w:rFonts w:ascii="Segoe UI" w:hAnsi="Segoe UI" w:cs="Segoe UI"/>
          <w:color w:val="203864"/>
          <w:sz w:val="21"/>
          <w:szCs w:val="21"/>
          <w:lang w:eastAsia="en-GB"/>
        </w:rPr>
        <w:t>Where prescriptions are presented to pharmacies or GP practice dispensaries that don’t have oseltamivir in stock,</w:t>
      </w:r>
      <w:r>
        <w:rPr>
          <w:rFonts w:ascii="Segoe UI" w:hAnsi="Segoe UI" w:cs="Segoe UI"/>
          <w:b/>
          <w:bCs/>
          <w:color w:val="203864"/>
          <w:sz w:val="21"/>
          <w:szCs w:val="21"/>
          <w:lang w:eastAsia="en-GB"/>
        </w:rPr>
        <w:t xml:space="preserve"> </w:t>
      </w:r>
      <w:r>
        <w:rPr>
          <w:rFonts w:ascii="Segoe UI" w:hAnsi="Segoe UI" w:cs="Segoe UI"/>
          <w:color w:val="203864"/>
          <w:sz w:val="21"/>
          <w:szCs w:val="21"/>
          <w:lang w:eastAsia="en-GB"/>
        </w:rPr>
        <w:t>it will often be quicker to signpost the patient to one of the above pharmacies, rather than placing an order and waiting for the stock to arrive.  Please liaise with the pharmacies directly if oseltamivir is to be prescribed.</w:t>
      </w:r>
    </w:p>
    <w:p w14:paraId="1BB2FBF3" w14:textId="77777777" w:rsidR="001A5B56" w:rsidRDefault="001A5B56" w:rsidP="001A5B56">
      <w:pPr>
        <w:shd w:val="clear" w:color="auto" w:fill="FFFFFF"/>
        <w:spacing w:after="240"/>
        <w:rPr>
          <w:color w:val="203864"/>
          <w:sz w:val="21"/>
          <w:szCs w:val="21"/>
          <w:lang w:eastAsia="en-GB"/>
        </w:rPr>
      </w:pPr>
      <w:r>
        <w:rPr>
          <w:rFonts w:ascii="Segoe UI" w:hAnsi="Segoe UI" w:cs="Segoe UI"/>
          <w:b/>
          <w:bCs/>
          <w:color w:val="203864"/>
          <w:sz w:val="21"/>
          <w:szCs w:val="21"/>
          <w:lang w:eastAsia="en-GB"/>
        </w:rPr>
        <w:t>Prescribers are reminded to endorse all prescriptions for oseltamivir (and zanamivir), with the reference to the Selected List Scheme - “SLS”.</w:t>
      </w:r>
      <w:r>
        <w:rPr>
          <w:rFonts w:ascii="Segoe UI" w:hAnsi="Segoe UI" w:cs="Segoe UI"/>
          <w:color w:val="203864"/>
          <w:sz w:val="21"/>
          <w:szCs w:val="21"/>
          <w:lang w:eastAsia="en-GB"/>
        </w:rPr>
        <w:t xml:space="preserve"> Community pharmacies are only able to dispense NHS prescriptions for oseltamivir and zanamivir if the prescriber endorses the</w:t>
      </w:r>
      <w:r>
        <w:rPr>
          <w:color w:val="203864"/>
          <w:sz w:val="21"/>
          <w:szCs w:val="21"/>
          <w:lang w:eastAsia="en-GB"/>
        </w:rPr>
        <w:t xml:space="preserve"> </w:t>
      </w:r>
      <w:r>
        <w:rPr>
          <w:rFonts w:ascii="Segoe UI" w:hAnsi="Segoe UI" w:cs="Segoe UI"/>
          <w:color w:val="203864"/>
          <w:sz w:val="21"/>
          <w:szCs w:val="21"/>
          <w:lang w:eastAsia="en-GB"/>
        </w:rPr>
        <w:t>prescription with “SLS”.</w:t>
      </w:r>
    </w:p>
    <w:p w14:paraId="3C785452" w14:textId="77777777" w:rsidR="001A5B56" w:rsidRPr="001A5B56" w:rsidRDefault="001A5B56" w:rsidP="001A5B56">
      <w:pPr>
        <w:shd w:val="clear" w:color="auto" w:fill="FFFFFF"/>
        <w:rPr>
          <w:rFonts w:ascii="Segoe UI" w:hAnsi="Segoe UI" w:cs="Segoe UI"/>
          <w:b/>
          <w:bCs/>
          <w:color w:val="203864"/>
          <w:sz w:val="21"/>
          <w:szCs w:val="21"/>
          <w:lang w:eastAsia="en-GB"/>
        </w:rPr>
      </w:pPr>
      <w:r w:rsidRPr="001A5B56">
        <w:rPr>
          <w:rFonts w:ascii="Segoe UI" w:hAnsi="Segoe UI" w:cs="Segoe UI"/>
          <w:b/>
          <w:bCs/>
          <w:color w:val="203864"/>
          <w:sz w:val="21"/>
          <w:szCs w:val="21"/>
          <w:u w:val="single"/>
          <w:lang w:eastAsia="en-GB"/>
        </w:rPr>
        <w:lastRenderedPageBreak/>
        <w:t>Treatment</w:t>
      </w:r>
    </w:p>
    <w:p w14:paraId="6F47ACB8" w14:textId="77777777" w:rsidR="001A5B56" w:rsidRDefault="001A5B56" w:rsidP="001A5B56">
      <w:pPr>
        <w:shd w:val="clear" w:color="auto" w:fill="FFFFFF"/>
        <w:rPr>
          <w:rFonts w:ascii="Segoe UI" w:hAnsi="Segoe UI" w:cs="Segoe UI"/>
          <w:color w:val="203864"/>
          <w:sz w:val="21"/>
          <w:szCs w:val="21"/>
          <w:lang w:eastAsia="en-GB"/>
        </w:rPr>
      </w:pPr>
      <w:r>
        <w:rPr>
          <w:rFonts w:ascii="Segoe UI" w:hAnsi="Segoe UI" w:cs="Segoe UI"/>
          <w:color w:val="203864"/>
          <w:sz w:val="21"/>
          <w:szCs w:val="21"/>
          <w:lang w:eastAsia="en-GB"/>
        </w:rPr>
        <w:t>Oseltamivir (Tamiflu®) is recommended for the treatment of influenza in adults and children if </w:t>
      </w:r>
      <w:proofErr w:type="gramStart"/>
      <w:r>
        <w:rPr>
          <w:rFonts w:ascii="Segoe UI" w:hAnsi="Segoe UI" w:cs="Segoe UI"/>
          <w:b/>
          <w:bCs/>
          <w:color w:val="203864"/>
          <w:sz w:val="21"/>
          <w:szCs w:val="21"/>
          <w:lang w:eastAsia="en-GB"/>
        </w:rPr>
        <w:t>ALL </w:t>
      </w:r>
      <w:r>
        <w:rPr>
          <w:rFonts w:ascii="Segoe UI" w:hAnsi="Segoe UI" w:cs="Segoe UI"/>
          <w:color w:val="203864"/>
          <w:sz w:val="21"/>
          <w:szCs w:val="21"/>
          <w:lang w:eastAsia="en-GB"/>
        </w:rPr>
        <w:t>of</w:t>
      </w:r>
      <w:proofErr w:type="gramEnd"/>
      <w:r>
        <w:rPr>
          <w:rFonts w:ascii="Segoe UI" w:hAnsi="Segoe UI" w:cs="Segoe UI"/>
          <w:color w:val="203864"/>
          <w:sz w:val="21"/>
          <w:szCs w:val="21"/>
          <w:lang w:eastAsia="en-GB"/>
        </w:rPr>
        <w:t xml:space="preserve"> the following circumstances apply:</w:t>
      </w:r>
    </w:p>
    <w:p w14:paraId="59075C36" w14:textId="0CF18488" w:rsidR="00CD4355" w:rsidRPr="008E6107" w:rsidRDefault="001A5B56" w:rsidP="008E6107">
      <w:pPr>
        <w:pStyle w:val="ListParagraph"/>
        <w:numPr>
          <w:ilvl w:val="0"/>
          <w:numId w:val="3"/>
        </w:numPr>
        <w:shd w:val="clear" w:color="auto" w:fill="FFFFFF"/>
        <w:rPr>
          <w:rFonts w:ascii="Segoe UI" w:hAnsi="Segoe UI" w:cs="Segoe UI"/>
          <w:color w:val="203864"/>
          <w:sz w:val="21"/>
          <w:szCs w:val="21"/>
          <w:lang w:eastAsia="en-GB"/>
        </w:rPr>
      </w:pPr>
      <w:r w:rsidRPr="008E6107">
        <w:rPr>
          <w:rFonts w:ascii="Segoe UI" w:hAnsi="Segoe UI" w:cs="Segoe UI"/>
          <w:color w:val="203864"/>
          <w:sz w:val="21"/>
          <w:szCs w:val="21"/>
          <w:lang w:eastAsia="en-GB"/>
        </w:rPr>
        <w:t>National surveillance indicates that influenza virus is circulating (</w:t>
      </w:r>
      <w:hyperlink r:id="rId8" w:history="1">
        <w:r w:rsidRPr="001D283F">
          <w:rPr>
            <w:rStyle w:val="Hyperlink"/>
            <w:rFonts w:ascii="Segoe UI" w:hAnsi="Segoe UI" w:cs="Segoe UI"/>
            <w:sz w:val="21"/>
            <w:szCs w:val="21"/>
            <w:lang w:eastAsia="en-GB"/>
          </w:rPr>
          <w:t>CMO alert iss</w:t>
        </w:r>
        <w:r w:rsidRPr="001D283F">
          <w:rPr>
            <w:rStyle w:val="Hyperlink"/>
            <w:rFonts w:ascii="Segoe UI" w:hAnsi="Segoe UI" w:cs="Segoe UI"/>
            <w:sz w:val="21"/>
            <w:szCs w:val="21"/>
            <w:lang w:eastAsia="en-GB"/>
          </w:rPr>
          <w:t>u</w:t>
        </w:r>
        <w:r w:rsidRPr="001D283F">
          <w:rPr>
            <w:rStyle w:val="Hyperlink"/>
            <w:rFonts w:ascii="Segoe UI" w:hAnsi="Segoe UI" w:cs="Segoe UI"/>
            <w:sz w:val="21"/>
            <w:szCs w:val="21"/>
            <w:lang w:eastAsia="en-GB"/>
          </w:rPr>
          <w:t xml:space="preserve">ed </w:t>
        </w:r>
        <w:r w:rsidR="00DA3DCE" w:rsidRPr="001D283F">
          <w:rPr>
            <w:rStyle w:val="Hyperlink"/>
            <w:rFonts w:ascii="Segoe UI" w:hAnsi="Segoe UI" w:cs="Segoe UI"/>
            <w:sz w:val="21"/>
            <w:szCs w:val="21"/>
            <w:lang w:eastAsia="en-GB"/>
          </w:rPr>
          <w:t>4</w:t>
        </w:r>
        <w:r w:rsidRPr="001D283F">
          <w:rPr>
            <w:rStyle w:val="Hyperlink"/>
            <w:rFonts w:ascii="Segoe UI" w:hAnsi="Segoe UI" w:cs="Segoe UI"/>
            <w:sz w:val="21"/>
            <w:szCs w:val="21"/>
            <w:vertAlign w:val="superscript"/>
            <w:lang w:eastAsia="en-GB"/>
          </w:rPr>
          <w:t>th</w:t>
        </w:r>
        <w:r w:rsidRPr="001D283F">
          <w:rPr>
            <w:rStyle w:val="Hyperlink"/>
            <w:rFonts w:ascii="Segoe UI" w:hAnsi="Segoe UI" w:cs="Segoe UI"/>
            <w:sz w:val="21"/>
            <w:szCs w:val="21"/>
            <w:lang w:eastAsia="en-GB"/>
          </w:rPr>
          <w:t xml:space="preserve"> December</w:t>
        </w:r>
      </w:hyperlink>
      <w:r w:rsidRPr="008E6107">
        <w:rPr>
          <w:rFonts w:ascii="Segoe UI" w:hAnsi="Segoe UI" w:cs="Segoe UI"/>
          <w:color w:val="203864"/>
          <w:sz w:val="21"/>
          <w:szCs w:val="21"/>
          <w:lang w:eastAsia="en-GB"/>
        </w:rPr>
        <w:t>)</w:t>
      </w:r>
    </w:p>
    <w:p w14:paraId="1CAC2800" w14:textId="2EECC8D3" w:rsidR="001A5B56" w:rsidRPr="008E6107" w:rsidRDefault="001A5B56" w:rsidP="00FA29A5">
      <w:pPr>
        <w:pStyle w:val="ListParagraph"/>
        <w:numPr>
          <w:ilvl w:val="0"/>
          <w:numId w:val="3"/>
        </w:numPr>
        <w:shd w:val="clear" w:color="auto" w:fill="FFFFFF"/>
        <w:rPr>
          <w:rFonts w:ascii="Segoe UI" w:hAnsi="Segoe UI" w:cs="Segoe UI"/>
          <w:color w:val="203864"/>
          <w:sz w:val="21"/>
          <w:szCs w:val="21"/>
          <w:lang w:eastAsia="en-GB"/>
        </w:rPr>
      </w:pPr>
      <w:r w:rsidRPr="008E6107">
        <w:rPr>
          <w:rFonts w:ascii="Segoe UI" w:hAnsi="Segoe UI" w:cs="Segoe UI"/>
          <w:color w:val="203864"/>
          <w:sz w:val="21"/>
          <w:szCs w:val="21"/>
          <w:lang w:eastAsia="en-GB"/>
        </w:rPr>
        <w:t>The person is in an ‘at risk’ group or if the person is not in an at-risk group,</w:t>
      </w:r>
      <w:r w:rsidR="008E6107" w:rsidRPr="008E6107">
        <w:rPr>
          <w:rFonts w:ascii="Segoe UI" w:hAnsi="Segoe UI" w:cs="Segoe UI"/>
          <w:color w:val="203864"/>
          <w:sz w:val="21"/>
          <w:szCs w:val="21"/>
          <w:lang w:eastAsia="en-GB"/>
        </w:rPr>
        <w:t xml:space="preserve"> or</w:t>
      </w:r>
      <w:r w:rsidR="008E6107">
        <w:rPr>
          <w:rFonts w:ascii="Segoe UI" w:hAnsi="Segoe UI" w:cs="Segoe UI"/>
          <w:color w:val="203864"/>
          <w:sz w:val="21"/>
          <w:szCs w:val="21"/>
          <w:lang w:eastAsia="en-GB"/>
        </w:rPr>
        <w:t xml:space="preserve"> t</w:t>
      </w:r>
      <w:r w:rsidRPr="008E6107">
        <w:rPr>
          <w:rFonts w:ascii="Segoe UI" w:hAnsi="Segoe UI" w:cs="Segoe UI"/>
          <w:color w:val="203864"/>
          <w:sz w:val="21"/>
          <w:szCs w:val="21"/>
          <w:lang w:eastAsia="en-GB"/>
        </w:rPr>
        <w:t>he prescriber believes that the person is at risk of developing severe medical complications of influenza if not treated</w:t>
      </w:r>
    </w:p>
    <w:p w14:paraId="13875747" w14:textId="6ED32882" w:rsidR="001A5B56" w:rsidRPr="008E6107" w:rsidRDefault="001A5B56" w:rsidP="008E6107">
      <w:pPr>
        <w:pStyle w:val="ListParagraph"/>
        <w:numPr>
          <w:ilvl w:val="0"/>
          <w:numId w:val="3"/>
        </w:numPr>
        <w:shd w:val="clear" w:color="auto" w:fill="FFFFFF"/>
        <w:rPr>
          <w:rFonts w:ascii="Segoe UI" w:hAnsi="Segoe UI" w:cs="Segoe UI"/>
          <w:color w:val="203864"/>
          <w:sz w:val="21"/>
          <w:szCs w:val="21"/>
          <w:lang w:eastAsia="en-GB"/>
        </w:rPr>
      </w:pPr>
      <w:r w:rsidRPr="008E6107">
        <w:rPr>
          <w:rFonts w:ascii="Segoe UI" w:hAnsi="Segoe UI" w:cs="Segoe UI"/>
          <w:color w:val="203864"/>
          <w:sz w:val="21"/>
          <w:szCs w:val="21"/>
          <w:lang w:eastAsia="en-GB"/>
        </w:rPr>
        <w:t>The person presents with an influenza-like illness and can start treatment within 48 hours of the onset of symptoms.</w:t>
      </w:r>
    </w:p>
    <w:p w14:paraId="4A2BF903" w14:textId="77777777" w:rsidR="001A5B56" w:rsidRDefault="001A5B56" w:rsidP="001A5B56">
      <w:pPr>
        <w:shd w:val="clear" w:color="auto" w:fill="FFFFFF"/>
        <w:rPr>
          <w:rFonts w:ascii="Segoe UI" w:hAnsi="Segoe UI" w:cs="Segoe UI"/>
          <w:color w:val="203864"/>
          <w:sz w:val="21"/>
          <w:szCs w:val="21"/>
          <w:lang w:eastAsia="en-GB"/>
        </w:rPr>
      </w:pPr>
      <w:r>
        <w:rPr>
          <w:rFonts w:ascii="Segoe UI" w:hAnsi="Segoe UI" w:cs="Segoe UI"/>
          <w:color w:val="203864"/>
          <w:sz w:val="21"/>
          <w:szCs w:val="21"/>
          <w:lang w:eastAsia="en-GB"/>
        </w:rPr>
        <w:t> </w:t>
      </w:r>
    </w:p>
    <w:p w14:paraId="13FCC71A" w14:textId="77777777" w:rsidR="001A5B56" w:rsidRPr="001A5B56" w:rsidRDefault="001A5B56" w:rsidP="001A5B56">
      <w:pPr>
        <w:shd w:val="clear" w:color="auto" w:fill="FFFFFF"/>
        <w:rPr>
          <w:rFonts w:ascii="Segoe UI" w:hAnsi="Segoe UI" w:cs="Segoe UI"/>
          <w:b/>
          <w:bCs/>
          <w:color w:val="203864"/>
          <w:sz w:val="21"/>
          <w:szCs w:val="21"/>
          <w:lang w:eastAsia="en-GB"/>
        </w:rPr>
      </w:pPr>
      <w:r w:rsidRPr="001A5B56">
        <w:rPr>
          <w:rFonts w:ascii="Segoe UI" w:hAnsi="Segoe UI" w:cs="Segoe UI"/>
          <w:b/>
          <w:bCs/>
          <w:color w:val="203864"/>
          <w:sz w:val="21"/>
          <w:szCs w:val="21"/>
          <w:u w:val="single"/>
          <w:lang w:eastAsia="en-GB"/>
        </w:rPr>
        <w:t>Prophylaxis</w:t>
      </w:r>
    </w:p>
    <w:p w14:paraId="636EF035" w14:textId="77777777" w:rsidR="001A5B56" w:rsidRDefault="001A5B56" w:rsidP="001A5B56">
      <w:pPr>
        <w:shd w:val="clear" w:color="auto" w:fill="FFFFFF"/>
        <w:rPr>
          <w:rFonts w:ascii="Segoe UI" w:hAnsi="Segoe UI" w:cs="Segoe UI"/>
          <w:color w:val="203864"/>
          <w:sz w:val="21"/>
          <w:szCs w:val="21"/>
          <w:lang w:eastAsia="en-GB"/>
        </w:rPr>
      </w:pPr>
      <w:r>
        <w:rPr>
          <w:rFonts w:ascii="Segoe UI" w:hAnsi="Segoe UI" w:cs="Segoe UI"/>
          <w:color w:val="203864"/>
          <w:sz w:val="21"/>
          <w:szCs w:val="21"/>
          <w:lang w:eastAsia="en-GB"/>
        </w:rPr>
        <w:t>Oseltamivir (Tamiflu®) is recommended for the post-exposure prophylaxis of influenza</w:t>
      </w:r>
      <w:r>
        <w:rPr>
          <w:rFonts w:ascii="Segoe UI" w:hAnsi="Segoe UI" w:cs="Segoe UI"/>
          <w:b/>
          <w:bCs/>
          <w:color w:val="203864"/>
          <w:sz w:val="21"/>
          <w:szCs w:val="21"/>
          <w:lang w:eastAsia="en-GB"/>
        </w:rPr>
        <w:t> </w:t>
      </w:r>
      <w:r>
        <w:rPr>
          <w:rFonts w:ascii="Segoe UI" w:hAnsi="Segoe UI" w:cs="Segoe UI"/>
          <w:color w:val="203864"/>
          <w:sz w:val="21"/>
          <w:szCs w:val="21"/>
          <w:lang w:eastAsia="en-GB"/>
        </w:rPr>
        <w:t>if </w:t>
      </w:r>
      <w:proofErr w:type="gramStart"/>
      <w:r>
        <w:rPr>
          <w:rFonts w:ascii="Segoe UI" w:hAnsi="Segoe UI" w:cs="Segoe UI"/>
          <w:b/>
          <w:bCs/>
          <w:color w:val="203864"/>
          <w:sz w:val="21"/>
          <w:szCs w:val="21"/>
          <w:lang w:eastAsia="en-GB"/>
        </w:rPr>
        <w:t>ALL</w:t>
      </w:r>
      <w:r>
        <w:rPr>
          <w:rFonts w:ascii="Segoe UI" w:hAnsi="Segoe UI" w:cs="Segoe UI"/>
          <w:color w:val="203864"/>
          <w:sz w:val="21"/>
          <w:szCs w:val="21"/>
          <w:lang w:eastAsia="en-GB"/>
        </w:rPr>
        <w:t> of</w:t>
      </w:r>
      <w:proofErr w:type="gramEnd"/>
      <w:r>
        <w:rPr>
          <w:rFonts w:ascii="Segoe UI" w:hAnsi="Segoe UI" w:cs="Segoe UI"/>
          <w:color w:val="203864"/>
          <w:sz w:val="21"/>
          <w:szCs w:val="21"/>
          <w:lang w:eastAsia="en-GB"/>
        </w:rPr>
        <w:t xml:space="preserve"> the following circumstances apply:</w:t>
      </w:r>
    </w:p>
    <w:p w14:paraId="32021133" w14:textId="03C35C8B" w:rsidR="001A5B56" w:rsidRDefault="001A5B56" w:rsidP="001A5B56">
      <w:pPr>
        <w:pStyle w:val="ListParagraph"/>
        <w:numPr>
          <w:ilvl w:val="0"/>
          <w:numId w:val="1"/>
        </w:numPr>
        <w:shd w:val="clear" w:color="auto" w:fill="FFFFFF"/>
        <w:rPr>
          <w:rFonts w:ascii="Segoe UI" w:eastAsia="Times New Roman" w:hAnsi="Segoe UI" w:cs="Segoe UI"/>
          <w:color w:val="203864"/>
          <w:sz w:val="21"/>
          <w:szCs w:val="21"/>
          <w:lang w:eastAsia="en-GB"/>
        </w:rPr>
      </w:pPr>
      <w:r>
        <w:rPr>
          <w:rFonts w:ascii="Segoe UI" w:eastAsia="Times New Roman" w:hAnsi="Segoe UI" w:cs="Segoe UI"/>
          <w:color w:val="203864"/>
          <w:sz w:val="21"/>
          <w:szCs w:val="21"/>
          <w:lang w:eastAsia="en-GB"/>
        </w:rPr>
        <w:t>National surveillance indicates that influenza virus is circulating (</w:t>
      </w:r>
      <w:hyperlink r:id="rId9" w:history="1">
        <w:r w:rsidRPr="001D283F">
          <w:rPr>
            <w:rStyle w:val="Hyperlink"/>
            <w:rFonts w:ascii="Segoe UI" w:eastAsia="Times New Roman" w:hAnsi="Segoe UI" w:cs="Segoe UI"/>
            <w:sz w:val="21"/>
            <w:szCs w:val="21"/>
            <w:lang w:eastAsia="en-GB"/>
          </w:rPr>
          <w:t xml:space="preserve">CMO alert issued </w:t>
        </w:r>
        <w:r w:rsidR="00DA3DCE" w:rsidRPr="001D283F">
          <w:rPr>
            <w:rStyle w:val="Hyperlink"/>
            <w:rFonts w:ascii="Segoe UI" w:eastAsia="Times New Roman" w:hAnsi="Segoe UI" w:cs="Segoe UI"/>
            <w:sz w:val="21"/>
            <w:szCs w:val="21"/>
            <w:lang w:eastAsia="en-GB"/>
          </w:rPr>
          <w:t>4</w:t>
        </w:r>
        <w:r w:rsidRPr="001D283F">
          <w:rPr>
            <w:rStyle w:val="Hyperlink"/>
            <w:rFonts w:ascii="Segoe UI" w:eastAsia="Times New Roman" w:hAnsi="Segoe UI" w:cs="Segoe UI"/>
            <w:sz w:val="21"/>
            <w:szCs w:val="21"/>
            <w:vertAlign w:val="superscript"/>
            <w:lang w:eastAsia="en-GB"/>
          </w:rPr>
          <w:t>th</w:t>
        </w:r>
        <w:r w:rsidRPr="001D283F">
          <w:rPr>
            <w:rStyle w:val="Hyperlink"/>
            <w:rFonts w:ascii="Segoe UI" w:eastAsia="Times New Roman" w:hAnsi="Segoe UI" w:cs="Segoe UI"/>
            <w:sz w:val="21"/>
            <w:szCs w:val="21"/>
            <w:lang w:eastAsia="en-GB"/>
          </w:rPr>
          <w:t xml:space="preserve"> December</w:t>
        </w:r>
      </w:hyperlink>
      <w:r>
        <w:rPr>
          <w:rFonts w:ascii="Segoe UI" w:eastAsia="Times New Roman" w:hAnsi="Segoe UI" w:cs="Segoe UI"/>
          <w:color w:val="203864"/>
          <w:sz w:val="21"/>
          <w:szCs w:val="21"/>
          <w:lang w:eastAsia="en-GB"/>
        </w:rPr>
        <w:t>).</w:t>
      </w:r>
    </w:p>
    <w:p w14:paraId="145A933E" w14:textId="77777777" w:rsidR="001A5B56" w:rsidRDefault="001A5B56" w:rsidP="001A5B56">
      <w:pPr>
        <w:pStyle w:val="ListParagraph"/>
        <w:numPr>
          <w:ilvl w:val="0"/>
          <w:numId w:val="1"/>
        </w:numPr>
        <w:shd w:val="clear" w:color="auto" w:fill="FFFFFF"/>
        <w:rPr>
          <w:rFonts w:ascii="Segoe UI" w:eastAsia="Times New Roman" w:hAnsi="Segoe UI" w:cs="Segoe UI"/>
          <w:color w:val="203864"/>
          <w:sz w:val="21"/>
          <w:szCs w:val="21"/>
          <w:lang w:eastAsia="en-GB"/>
        </w:rPr>
      </w:pPr>
      <w:r>
        <w:rPr>
          <w:rFonts w:ascii="Segoe UI" w:eastAsia="Times New Roman" w:hAnsi="Segoe UI" w:cs="Segoe UI"/>
          <w:color w:val="203864"/>
          <w:sz w:val="21"/>
          <w:szCs w:val="21"/>
          <w:lang w:eastAsia="en-GB"/>
        </w:rPr>
        <w:t>The person is in an ‘at risk’ group                          </w:t>
      </w:r>
    </w:p>
    <w:p w14:paraId="71CF7076" w14:textId="77777777" w:rsidR="001A5B56" w:rsidRDefault="001A5B56" w:rsidP="001A5B56">
      <w:pPr>
        <w:pStyle w:val="ListParagraph"/>
        <w:numPr>
          <w:ilvl w:val="0"/>
          <w:numId w:val="1"/>
        </w:numPr>
        <w:shd w:val="clear" w:color="auto" w:fill="FFFFFF"/>
        <w:rPr>
          <w:rFonts w:ascii="Segoe UI" w:eastAsia="Times New Roman" w:hAnsi="Segoe UI" w:cs="Segoe UI"/>
          <w:color w:val="203864"/>
          <w:sz w:val="21"/>
          <w:szCs w:val="21"/>
          <w:lang w:eastAsia="en-GB"/>
        </w:rPr>
      </w:pPr>
      <w:r>
        <w:rPr>
          <w:rFonts w:ascii="Segoe UI" w:eastAsia="Times New Roman" w:hAnsi="Segoe UI" w:cs="Segoe UI"/>
          <w:color w:val="203864"/>
          <w:sz w:val="21"/>
          <w:szCs w:val="21"/>
          <w:lang w:eastAsia="en-GB"/>
        </w:rPr>
        <w:t>The person has been in close contact with a person in the same household or residential setting who has had recent symptoms of influenza.</w:t>
      </w:r>
    </w:p>
    <w:p w14:paraId="3E1A4EE3" w14:textId="77777777" w:rsidR="001A5B56" w:rsidRDefault="001A5B56" w:rsidP="001A5B56">
      <w:pPr>
        <w:pStyle w:val="ListParagraph"/>
        <w:numPr>
          <w:ilvl w:val="0"/>
          <w:numId w:val="1"/>
        </w:numPr>
        <w:shd w:val="clear" w:color="auto" w:fill="FFFFFF"/>
        <w:rPr>
          <w:rFonts w:ascii="Segoe UI" w:eastAsia="Times New Roman" w:hAnsi="Segoe UI" w:cs="Segoe UI"/>
          <w:color w:val="203864"/>
          <w:sz w:val="21"/>
          <w:szCs w:val="21"/>
          <w:lang w:eastAsia="en-GB"/>
        </w:rPr>
      </w:pPr>
      <w:r>
        <w:rPr>
          <w:rFonts w:ascii="Segoe UI" w:eastAsia="Times New Roman" w:hAnsi="Segoe UI" w:cs="Segoe UI"/>
          <w:color w:val="203864"/>
          <w:sz w:val="21"/>
          <w:szCs w:val="21"/>
          <w:lang w:eastAsia="en-GB"/>
        </w:rPr>
        <w:t xml:space="preserve">The person </w:t>
      </w:r>
      <w:proofErr w:type="gramStart"/>
      <w:r>
        <w:rPr>
          <w:rFonts w:ascii="Segoe UI" w:eastAsia="Times New Roman" w:hAnsi="Segoe UI" w:cs="Segoe UI"/>
          <w:color w:val="203864"/>
          <w:sz w:val="21"/>
          <w:szCs w:val="21"/>
          <w:lang w:eastAsia="en-GB"/>
        </w:rPr>
        <w:t>is able to</w:t>
      </w:r>
      <w:proofErr w:type="gramEnd"/>
      <w:r>
        <w:rPr>
          <w:rFonts w:ascii="Segoe UI" w:eastAsia="Times New Roman" w:hAnsi="Segoe UI" w:cs="Segoe UI"/>
          <w:color w:val="203864"/>
          <w:sz w:val="21"/>
          <w:szCs w:val="21"/>
          <w:lang w:eastAsia="en-GB"/>
        </w:rPr>
        <w:t xml:space="preserve"> begin prophylaxis within 48 hours of contact with the index case for oseltamivir. </w:t>
      </w:r>
    </w:p>
    <w:p w14:paraId="12512339" w14:textId="77777777" w:rsidR="001A5B56" w:rsidRDefault="001A5B56" w:rsidP="001A5B56">
      <w:pPr>
        <w:pStyle w:val="ListParagraph"/>
        <w:numPr>
          <w:ilvl w:val="0"/>
          <w:numId w:val="1"/>
        </w:numPr>
        <w:shd w:val="clear" w:color="auto" w:fill="FFFFFF"/>
        <w:rPr>
          <w:rFonts w:ascii="Segoe UI" w:eastAsia="Times New Roman" w:hAnsi="Segoe UI" w:cs="Segoe UI"/>
          <w:color w:val="203864"/>
          <w:sz w:val="21"/>
          <w:szCs w:val="21"/>
          <w:lang w:eastAsia="en-GB"/>
        </w:rPr>
      </w:pPr>
      <w:r>
        <w:rPr>
          <w:rFonts w:ascii="Segoe UI" w:eastAsia="Times New Roman" w:hAnsi="Segoe UI" w:cs="Segoe UI"/>
          <w:color w:val="203864"/>
          <w:sz w:val="21"/>
          <w:szCs w:val="21"/>
          <w:lang w:eastAsia="en-GB"/>
        </w:rPr>
        <w:t>The person has not been effectively protected by vaccination (this is defined as people who have not been vaccinated since the previous influenza season, those in whom vaccination is contraindicated, or in whom it has yet to take effect (the vaccine takes around 14 days to work), and those vaccinated with a vaccine that is not well matched to the circulating strain of influenza virus).</w:t>
      </w:r>
    </w:p>
    <w:p w14:paraId="4DC1037E" w14:textId="77777777" w:rsidR="001A5B56" w:rsidRDefault="001A5B56" w:rsidP="001A5B56">
      <w:pPr>
        <w:shd w:val="clear" w:color="auto" w:fill="FFFFFF"/>
        <w:rPr>
          <w:rFonts w:ascii="Segoe UI" w:hAnsi="Segoe UI" w:cs="Segoe UI"/>
          <w:color w:val="203864"/>
          <w:sz w:val="21"/>
          <w:szCs w:val="21"/>
          <w:lang w:eastAsia="en-GB"/>
        </w:rPr>
      </w:pPr>
    </w:p>
    <w:p w14:paraId="00AFE50D" w14:textId="77777777" w:rsidR="001A5B56" w:rsidRDefault="001A5B56" w:rsidP="001A5B56">
      <w:pPr>
        <w:shd w:val="clear" w:color="auto" w:fill="FFFFFF"/>
        <w:rPr>
          <w:rFonts w:ascii="Segoe UI" w:hAnsi="Segoe UI" w:cs="Segoe UI"/>
          <w:color w:val="203864"/>
          <w:sz w:val="21"/>
          <w:szCs w:val="21"/>
          <w:lang w:eastAsia="en-GB"/>
        </w:rPr>
      </w:pPr>
      <w:r>
        <w:rPr>
          <w:rFonts w:ascii="Segoe UI" w:hAnsi="Segoe UI" w:cs="Segoe UI"/>
          <w:color w:val="203864"/>
          <w:sz w:val="21"/>
          <w:szCs w:val="21"/>
          <w:lang w:eastAsia="en-GB"/>
        </w:rPr>
        <w:t xml:space="preserve">The full NICE guidance on the use of antiviral medicines can be accessed at: </w:t>
      </w:r>
    </w:p>
    <w:p w14:paraId="76F2C2E4" w14:textId="77777777" w:rsidR="001A5B56" w:rsidRDefault="001A5B56" w:rsidP="001A5B56">
      <w:pPr>
        <w:shd w:val="clear" w:color="auto" w:fill="FFFFFF"/>
        <w:rPr>
          <w:rFonts w:ascii="Segoe UI" w:hAnsi="Segoe UI" w:cs="Segoe UI"/>
          <w:color w:val="203864"/>
          <w:sz w:val="21"/>
          <w:szCs w:val="21"/>
          <w:lang w:eastAsia="en-GB"/>
        </w:rPr>
      </w:pPr>
      <w:hyperlink r:id="rId10" w:history="1">
        <w:r>
          <w:rPr>
            <w:rStyle w:val="Hyperlink"/>
            <w:rFonts w:ascii="Segoe UI" w:hAnsi="Segoe UI" w:cs="Segoe UI"/>
            <w:color w:val="033160"/>
            <w:sz w:val="21"/>
            <w:szCs w:val="21"/>
            <w:lang w:eastAsia="en-GB"/>
          </w:rPr>
          <w:t>http://www.nice.org.uk/guidance/TA168</w:t>
        </w:r>
      </w:hyperlink>
      <w:r>
        <w:rPr>
          <w:rFonts w:ascii="Segoe UI" w:hAnsi="Segoe UI" w:cs="Segoe UI"/>
          <w:color w:val="203864"/>
          <w:sz w:val="21"/>
          <w:szCs w:val="21"/>
          <w:lang w:eastAsia="en-GB"/>
        </w:rPr>
        <w:t xml:space="preserve"> for treatment, and: </w:t>
      </w:r>
    </w:p>
    <w:p w14:paraId="5A2B943F" w14:textId="77777777" w:rsidR="001A5B56" w:rsidRDefault="001A5B56" w:rsidP="001A5B56">
      <w:pPr>
        <w:shd w:val="clear" w:color="auto" w:fill="FFFFFF"/>
        <w:rPr>
          <w:rFonts w:ascii="Segoe UI" w:hAnsi="Segoe UI" w:cs="Segoe UI"/>
          <w:color w:val="203864"/>
          <w:sz w:val="21"/>
          <w:szCs w:val="21"/>
          <w:lang w:eastAsia="en-GB"/>
        </w:rPr>
      </w:pPr>
      <w:hyperlink r:id="rId11" w:history="1">
        <w:r>
          <w:rPr>
            <w:rStyle w:val="Hyperlink"/>
            <w:rFonts w:ascii="Segoe UI" w:hAnsi="Segoe UI" w:cs="Segoe UI"/>
            <w:color w:val="033160"/>
            <w:sz w:val="21"/>
            <w:szCs w:val="21"/>
            <w:lang w:eastAsia="en-GB"/>
          </w:rPr>
          <w:t>http://guidance.nice.org.uk/TA158</w:t>
        </w:r>
      </w:hyperlink>
      <w:r>
        <w:rPr>
          <w:rFonts w:ascii="Segoe UI" w:hAnsi="Segoe UI" w:cs="Segoe UI"/>
          <w:color w:val="203864"/>
          <w:sz w:val="21"/>
          <w:szCs w:val="21"/>
          <w:lang w:eastAsia="en-GB"/>
        </w:rPr>
        <w:t xml:space="preserve"> for prophylaxis.</w:t>
      </w:r>
    </w:p>
    <w:p w14:paraId="53314AE9" w14:textId="77777777" w:rsidR="003D22DC" w:rsidRDefault="003D22DC"/>
    <w:sectPr w:rsidR="003D22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9163CB"/>
    <w:multiLevelType w:val="hybridMultilevel"/>
    <w:tmpl w:val="73F4ED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E882329"/>
    <w:multiLevelType w:val="hybridMultilevel"/>
    <w:tmpl w:val="30465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98337600">
    <w:abstractNumId w:val="0"/>
  </w:num>
  <w:num w:numId="2" w16cid:durableId="174655711">
    <w:abstractNumId w:val="0"/>
  </w:num>
  <w:num w:numId="3" w16cid:durableId="6574170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B56"/>
    <w:rsid w:val="0018709C"/>
    <w:rsid w:val="001A5B56"/>
    <w:rsid w:val="001B5E15"/>
    <w:rsid w:val="001D283F"/>
    <w:rsid w:val="003D22DC"/>
    <w:rsid w:val="00431268"/>
    <w:rsid w:val="008E6107"/>
    <w:rsid w:val="009A1B17"/>
    <w:rsid w:val="00CD4355"/>
    <w:rsid w:val="00DA3DCE"/>
    <w:rsid w:val="00DE0775"/>
    <w:rsid w:val="00E86182"/>
    <w:rsid w:val="00EB7D7E"/>
    <w:rsid w:val="00F52D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808C1"/>
  <w15:chartTrackingRefBased/>
  <w15:docId w15:val="{95AF95DA-83A1-4480-9BE8-3B93F094B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5B56"/>
    <w:pPr>
      <w:spacing w:after="0" w:line="240" w:lineRule="auto"/>
    </w:pPr>
    <w:rPr>
      <w:rFonts w:ascii="Calibri" w:hAnsi="Calibri" w:cs="Calibri"/>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A5B56"/>
    <w:rPr>
      <w:color w:val="0563C1"/>
      <w:u w:val="single"/>
    </w:rPr>
  </w:style>
  <w:style w:type="paragraph" w:styleId="NoSpacing">
    <w:name w:val="No Spacing"/>
    <w:basedOn w:val="Normal"/>
    <w:uiPriority w:val="1"/>
    <w:qFormat/>
    <w:rsid w:val="001A5B56"/>
  </w:style>
  <w:style w:type="paragraph" w:styleId="ListParagraph">
    <w:name w:val="List Paragraph"/>
    <w:basedOn w:val="Normal"/>
    <w:uiPriority w:val="34"/>
    <w:qFormat/>
    <w:rsid w:val="001A5B56"/>
    <w:pPr>
      <w:ind w:left="720"/>
    </w:pPr>
  </w:style>
  <w:style w:type="character" w:styleId="FollowedHyperlink">
    <w:name w:val="FollowedHyperlink"/>
    <w:basedOn w:val="DefaultParagraphFont"/>
    <w:uiPriority w:val="99"/>
    <w:semiHidden/>
    <w:unhideWhenUsed/>
    <w:rsid w:val="0018709C"/>
    <w:rPr>
      <w:color w:val="954F72" w:themeColor="followedHyperlink"/>
      <w:u w:val="single"/>
    </w:rPr>
  </w:style>
  <w:style w:type="character" w:styleId="UnresolvedMention">
    <w:name w:val="Unresolved Mention"/>
    <w:basedOn w:val="DefaultParagraphFont"/>
    <w:uiPriority w:val="99"/>
    <w:semiHidden/>
    <w:unhideWhenUsed/>
    <w:rsid w:val="001D28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66278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nphs.wales.nhs.uk/Contacts.nsf/ad351316b79a9f108025715a00367f36/0725b7e070c4fbb680258be90052cce9/$FILE/CEM_CMO_2024_09%20-%20CMO%20Alert%20-%20Influenza%20Antivirals%20-%20Dec%2024%20(003).pdf"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guidance.nice.org.uk/TA158" TargetMode="External"/><Relationship Id="rId5" Type="http://schemas.openxmlformats.org/officeDocument/2006/relationships/styles" Target="styles.xml"/><Relationship Id="rId10" Type="http://schemas.openxmlformats.org/officeDocument/2006/relationships/hyperlink" Target="http://www.nice.org.uk/guidance/TA168" TargetMode="External"/><Relationship Id="rId4" Type="http://schemas.openxmlformats.org/officeDocument/2006/relationships/numbering" Target="numbering.xml"/><Relationship Id="rId9" Type="http://schemas.openxmlformats.org/officeDocument/2006/relationships/hyperlink" Target="https://www2.nphs.wales.nhs.uk/Contacts.nsf/ad351316b79a9f108025715a00367f36/0725b7e070c4fbb680258be90052cce9/$FILE/CEM_CMO_2024_09%20-%20CMO%20Alert%20-%20Influenza%20Antivirals%20-%20Dec%2024%20(003).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Finalised_x003f_ xmlns="a52a7c76-ceac-446d-ac85-cb82d00e3116">false</Finalised_x003f_>
    <TaxCatchAll xmlns="6414e7a8-3859-4baa-9b8d-a01e638680ef" xsi:nil="true"/>
    <lcf76f155ced4ddcb4097134ff3c332f xmlns="a52a7c76-ceac-446d-ac85-cb82d00e3116">
      <Terms xmlns="http://schemas.microsoft.com/office/infopath/2007/PartnerControls"/>
    </lcf76f155ced4ddcb4097134ff3c332f>
    <Order0 xmlns="a52a7c76-ceac-446d-ac85-cb82d00e3116" xsi:nil="true"/>
    <ResponsiblePerson xmlns="a52a7c76-ceac-446d-ac85-cb82d00e3116">
      <UserInfo>
        <DisplayName/>
        <AccountId xsi:nil="true"/>
        <AccountType/>
      </UserInfo>
    </ResponsiblePerson>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19" ma:contentTypeDescription="Create a new document." ma:contentTypeScope="" ma:versionID="a1e01cb0f13f06e2ea90ce61c8c7f7c8">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87db6cbb11217266623a4d23107c0a7f"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C99C4AF-093B-4943-9FE2-D371591E48A3}">
  <ds:schemaRefs>
    <ds:schemaRef ds:uri="http://schemas.microsoft.com/office/2006/metadata/properties"/>
    <ds:schemaRef ds:uri="http://schemas.microsoft.com/office/infopath/2007/PartnerControls"/>
    <ds:schemaRef ds:uri="a52a7c76-ceac-446d-ac85-cb82d00e3116"/>
    <ds:schemaRef ds:uri="6414e7a8-3859-4baa-9b8d-a01e638680ef"/>
  </ds:schemaRefs>
</ds:datastoreItem>
</file>

<file path=customXml/itemProps2.xml><?xml version="1.0" encoding="utf-8"?>
<ds:datastoreItem xmlns:ds="http://schemas.openxmlformats.org/officeDocument/2006/customXml" ds:itemID="{1D59B4C7-D41C-49EE-85D2-675747DA17BA}">
  <ds:schemaRefs>
    <ds:schemaRef ds:uri="http://schemas.microsoft.com/sharepoint/v3/contenttype/forms"/>
  </ds:schemaRefs>
</ds:datastoreItem>
</file>

<file path=customXml/itemProps3.xml><?xml version="1.0" encoding="utf-8"?>
<ds:datastoreItem xmlns:ds="http://schemas.openxmlformats.org/officeDocument/2006/customXml" ds:itemID="{B50A13C1-39EA-4DB2-BB9D-18D04E934B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2a7c76-ceac-446d-ac85-cb82d00e3116"/>
    <ds:schemaRef ds:uri="6414e7a8-3859-4baa-9b8d-a01e638680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Pages>
  <Words>655</Words>
  <Characters>3734</Characters>
  <Application>Microsoft Office Word</Application>
  <DocSecurity>0</DocSecurity>
  <Lines>31</Lines>
  <Paragraphs>8</Paragraphs>
  <ScaleCrop>false</ScaleCrop>
  <Company>Bwrdd Iechyd Addysgu Powys</Company>
  <LinksUpToDate>false</LinksUpToDate>
  <CharactersWithSpaces>4381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Emlyn Pritchard (PTHB - Medicines Management/Pharmacy)</dc:creator>
  <cp:keywords/>
  <dc:description/>
  <cp:lastModifiedBy>Gail Brown (PTHB - Medicines Management)</cp:lastModifiedBy>
  <cp:revision>9</cp:revision>
  <dcterms:created xsi:type="dcterms:W3CDTF">2024-12-12T16:36:00Z</dcterms:created>
  <dcterms:modified xsi:type="dcterms:W3CDTF">2024-12-23T11:08:00Z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ies>
</file>