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8C41C0" w14:textId="14B4EBDF" w:rsidR="006030D1" w:rsidRDefault="006030D1"/>
    <w:p w14:paraId="7BC97E88" w14:textId="2EE9D976" w:rsidR="00FB7DF5" w:rsidRPr="001056FA" w:rsidRDefault="00FB7DF5">
      <w:pPr>
        <w:rPr>
          <w:color w:val="1F4E79" w:themeColor="accent5" w:themeShade="80"/>
          <w:u w:val="single"/>
        </w:rPr>
      </w:pPr>
      <w:r w:rsidRPr="001056FA">
        <w:rPr>
          <w:color w:val="1F4E79" w:themeColor="accent5" w:themeShade="80"/>
          <w:u w:val="single"/>
        </w:rPr>
        <w:t>Common Schedule 4 (Part 1) Controlled Drugs*</w:t>
      </w:r>
    </w:p>
    <w:p w14:paraId="2C3AF60B" w14:textId="59A789B4" w:rsidR="00FB7DF5" w:rsidRPr="001056FA" w:rsidRDefault="00FB7DF5" w:rsidP="00FB7DF5">
      <w:pPr>
        <w:rPr>
          <w:color w:val="1F4E79" w:themeColor="accent5" w:themeShade="80"/>
        </w:rPr>
      </w:pPr>
      <w:r w:rsidRPr="001056FA">
        <w:rPr>
          <w:color w:val="1F4E79" w:themeColor="accent5" w:themeShade="80"/>
        </w:rPr>
        <w:t>Benzodiazepines</w:t>
      </w:r>
    </w:p>
    <w:p w14:paraId="0B5AB156" w14:textId="3989742F" w:rsidR="00FB7DF5" w:rsidRPr="001056FA" w:rsidRDefault="00FB7DF5" w:rsidP="00FB7DF5">
      <w:pPr>
        <w:pStyle w:val="ListParagraph"/>
        <w:numPr>
          <w:ilvl w:val="0"/>
          <w:numId w:val="2"/>
        </w:numPr>
        <w:rPr>
          <w:color w:val="1F4E79" w:themeColor="accent5" w:themeShade="80"/>
        </w:rPr>
      </w:pPr>
      <w:r w:rsidRPr="001056FA">
        <w:rPr>
          <w:color w:val="1F4E79" w:themeColor="accent5" w:themeShade="80"/>
        </w:rPr>
        <w:t>Diazepam</w:t>
      </w:r>
    </w:p>
    <w:p w14:paraId="693AF5A8" w14:textId="33FA2020" w:rsidR="00FB7DF5" w:rsidRPr="001056FA" w:rsidRDefault="00FB7DF5" w:rsidP="00FB7DF5">
      <w:pPr>
        <w:pStyle w:val="ListParagraph"/>
        <w:numPr>
          <w:ilvl w:val="0"/>
          <w:numId w:val="2"/>
        </w:numPr>
        <w:rPr>
          <w:color w:val="1F4E79" w:themeColor="accent5" w:themeShade="80"/>
        </w:rPr>
      </w:pPr>
      <w:r w:rsidRPr="001056FA">
        <w:rPr>
          <w:color w:val="1F4E79" w:themeColor="accent5" w:themeShade="80"/>
        </w:rPr>
        <w:t>Lorazepam</w:t>
      </w:r>
    </w:p>
    <w:p w14:paraId="1DAF48D7" w14:textId="1FF1D92D" w:rsidR="00FB7DF5" w:rsidRPr="001056FA" w:rsidRDefault="00FB7DF5" w:rsidP="00FB7DF5">
      <w:pPr>
        <w:pStyle w:val="ListParagraph"/>
        <w:numPr>
          <w:ilvl w:val="0"/>
          <w:numId w:val="2"/>
        </w:numPr>
        <w:rPr>
          <w:color w:val="1F4E79" w:themeColor="accent5" w:themeShade="80"/>
        </w:rPr>
      </w:pPr>
      <w:r w:rsidRPr="001056FA">
        <w:rPr>
          <w:color w:val="1F4E79" w:themeColor="accent5" w:themeShade="80"/>
        </w:rPr>
        <w:t>Clobazam</w:t>
      </w:r>
    </w:p>
    <w:p w14:paraId="1C2562ED" w14:textId="250DD37E" w:rsidR="00FB7DF5" w:rsidRPr="001056FA" w:rsidRDefault="00FB7DF5" w:rsidP="00FB7DF5">
      <w:pPr>
        <w:pStyle w:val="ListParagraph"/>
        <w:numPr>
          <w:ilvl w:val="0"/>
          <w:numId w:val="2"/>
        </w:numPr>
        <w:rPr>
          <w:color w:val="1F4E79" w:themeColor="accent5" w:themeShade="80"/>
        </w:rPr>
      </w:pPr>
      <w:r w:rsidRPr="001056FA">
        <w:rPr>
          <w:color w:val="1F4E79" w:themeColor="accent5" w:themeShade="80"/>
        </w:rPr>
        <w:t>Clonazepam</w:t>
      </w:r>
    </w:p>
    <w:p w14:paraId="1E774551" w14:textId="6C00AB26" w:rsidR="00FB7DF5" w:rsidRPr="001056FA" w:rsidRDefault="00FB7DF5" w:rsidP="00FB7DF5">
      <w:pPr>
        <w:pStyle w:val="ListParagraph"/>
        <w:numPr>
          <w:ilvl w:val="0"/>
          <w:numId w:val="2"/>
        </w:numPr>
        <w:rPr>
          <w:color w:val="1F4E79" w:themeColor="accent5" w:themeShade="80"/>
        </w:rPr>
      </w:pPr>
      <w:r w:rsidRPr="001056FA">
        <w:rPr>
          <w:color w:val="1F4E79" w:themeColor="accent5" w:themeShade="80"/>
        </w:rPr>
        <w:t>Nitrazepam</w:t>
      </w:r>
    </w:p>
    <w:p w14:paraId="70B2D054" w14:textId="5401BA57" w:rsidR="00FB7DF5" w:rsidRPr="001056FA" w:rsidRDefault="00FB7DF5" w:rsidP="00FB7DF5">
      <w:pPr>
        <w:pStyle w:val="ListParagraph"/>
        <w:numPr>
          <w:ilvl w:val="0"/>
          <w:numId w:val="2"/>
        </w:numPr>
        <w:rPr>
          <w:color w:val="1F4E79" w:themeColor="accent5" w:themeShade="80"/>
        </w:rPr>
      </w:pPr>
      <w:r w:rsidRPr="001056FA">
        <w:rPr>
          <w:color w:val="1F4E79" w:themeColor="accent5" w:themeShade="80"/>
        </w:rPr>
        <w:t>Chlordiazepoxide</w:t>
      </w:r>
    </w:p>
    <w:p w14:paraId="61568EFE" w14:textId="6FF5C703" w:rsidR="00FB7DF5" w:rsidRPr="001056FA" w:rsidRDefault="00FB7DF5" w:rsidP="00FB7DF5">
      <w:pPr>
        <w:rPr>
          <w:color w:val="1F4E79" w:themeColor="accent5" w:themeShade="80"/>
        </w:rPr>
      </w:pPr>
      <w:r w:rsidRPr="001056FA">
        <w:rPr>
          <w:color w:val="1F4E79" w:themeColor="accent5" w:themeShade="80"/>
        </w:rPr>
        <w:t>“Z-Drugs”</w:t>
      </w:r>
    </w:p>
    <w:p w14:paraId="42E0A711" w14:textId="24A0BD5C" w:rsidR="00FB7DF5" w:rsidRPr="001056FA" w:rsidRDefault="00FB7DF5" w:rsidP="00FB7DF5">
      <w:pPr>
        <w:pStyle w:val="ListParagraph"/>
        <w:numPr>
          <w:ilvl w:val="0"/>
          <w:numId w:val="3"/>
        </w:numPr>
        <w:rPr>
          <w:color w:val="1F4E79" w:themeColor="accent5" w:themeShade="80"/>
        </w:rPr>
      </w:pPr>
      <w:r w:rsidRPr="001056FA">
        <w:rPr>
          <w:color w:val="1F4E79" w:themeColor="accent5" w:themeShade="80"/>
        </w:rPr>
        <w:t>Zopiclone</w:t>
      </w:r>
    </w:p>
    <w:p w14:paraId="078C870C" w14:textId="480527E3" w:rsidR="00FB7DF5" w:rsidRPr="001056FA" w:rsidRDefault="00FB7DF5" w:rsidP="00FB7DF5">
      <w:pPr>
        <w:pStyle w:val="ListParagraph"/>
        <w:numPr>
          <w:ilvl w:val="0"/>
          <w:numId w:val="3"/>
        </w:numPr>
        <w:rPr>
          <w:color w:val="1F4E79" w:themeColor="accent5" w:themeShade="80"/>
        </w:rPr>
      </w:pPr>
      <w:r w:rsidRPr="001056FA">
        <w:rPr>
          <w:color w:val="1F4E79" w:themeColor="accent5" w:themeShade="80"/>
        </w:rPr>
        <w:t>Zolpidem</w:t>
      </w:r>
    </w:p>
    <w:p w14:paraId="46538D36" w14:textId="215024FD" w:rsidR="00FB7DF5" w:rsidRPr="001056FA" w:rsidRDefault="00FB7DF5" w:rsidP="00FB7DF5">
      <w:pPr>
        <w:rPr>
          <w:color w:val="1F4E79" w:themeColor="accent5" w:themeShade="80"/>
          <w:u w:val="single"/>
        </w:rPr>
      </w:pPr>
      <w:r w:rsidRPr="001056FA">
        <w:rPr>
          <w:color w:val="1F4E79" w:themeColor="accent5" w:themeShade="80"/>
          <w:u w:val="single"/>
        </w:rPr>
        <w:t>Common Schedule 5 Controlled Drugs</w:t>
      </w:r>
    </w:p>
    <w:p w14:paraId="1AA7C77E" w14:textId="77965F98" w:rsidR="00FB7DF5" w:rsidRPr="001056FA" w:rsidRDefault="00FB7DF5" w:rsidP="00FB7DF5">
      <w:pPr>
        <w:pStyle w:val="ListParagraph"/>
        <w:numPr>
          <w:ilvl w:val="0"/>
          <w:numId w:val="4"/>
        </w:numPr>
        <w:rPr>
          <w:color w:val="1F4E79" w:themeColor="accent5" w:themeShade="80"/>
        </w:rPr>
      </w:pPr>
      <w:r w:rsidRPr="001056FA">
        <w:rPr>
          <w:color w:val="1F4E79" w:themeColor="accent5" w:themeShade="80"/>
        </w:rPr>
        <w:t>Codeine (including preparations such as co-codamol, co-dydramol)</w:t>
      </w:r>
    </w:p>
    <w:p w14:paraId="5EDE30A5" w14:textId="750AECF9" w:rsidR="00FB7DF5" w:rsidRPr="001056FA" w:rsidRDefault="00FB7DF5" w:rsidP="00FB7DF5">
      <w:pPr>
        <w:pStyle w:val="ListParagraph"/>
        <w:numPr>
          <w:ilvl w:val="0"/>
          <w:numId w:val="4"/>
        </w:numPr>
        <w:rPr>
          <w:color w:val="1F4E79" w:themeColor="accent5" w:themeShade="80"/>
        </w:rPr>
      </w:pPr>
      <w:r w:rsidRPr="001056FA">
        <w:rPr>
          <w:color w:val="1F4E79" w:themeColor="accent5" w:themeShade="80"/>
        </w:rPr>
        <w:t>Pholcodine</w:t>
      </w:r>
    </w:p>
    <w:p w14:paraId="3F32047E" w14:textId="4AB44A65" w:rsidR="00FB7DF5" w:rsidRPr="001056FA" w:rsidRDefault="00FB7DF5" w:rsidP="00FB7DF5">
      <w:pPr>
        <w:pStyle w:val="ListParagraph"/>
        <w:numPr>
          <w:ilvl w:val="0"/>
          <w:numId w:val="4"/>
        </w:numPr>
        <w:rPr>
          <w:color w:val="1F4E79" w:themeColor="accent5" w:themeShade="80"/>
        </w:rPr>
      </w:pPr>
      <w:r w:rsidRPr="001056FA">
        <w:rPr>
          <w:color w:val="1F4E79" w:themeColor="accent5" w:themeShade="80"/>
        </w:rPr>
        <w:t>Dihydrocodeine</w:t>
      </w:r>
    </w:p>
    <w:p w14:paraId="5327FC13" w14:textId="59AE380F" w:rsidR="00FB7DF5" w:rsidRPr="001056FA" w:rsidRDefault="00FB7DF5" w:rsidP="00FB7DF5">
      <w:pPr>
        <w:pStyle w:val="ListParagraph"/>
        <w:numPr>
          <w:ilvl w:val="0"/>
          <w:numId w:val="4"/>
        </w:numPr>
        <w:rPr>
          <w:color w:val="1F4E79" w:themeColor="accent5" w:themeShade="80"/>
        </w:rPr>
      </w:pPr>
      <w:r w:rsidRPr="001056FA">
        <w:rPr>
          <w:color w:val="1F4E79" w:themeColor="accent5" w:themeShade="80"/>
        </w:rPr>
        <w:t>Morphine Sulphate Oral Solution (10mg/5ml)</w:t>
      </w:r>
    </w:p>
    <w:p w14:paraId="0BA97F3A" w14:textId="2E012ADD" w:rsidR="00FB7DF5" w:rsidRPr="001056FA" w:rsidRDefault="00FB7DF5" w:rsidP="00FB7DF5">
      <w:pPr>
        <w:rPr>
          <w:color w:val="1F4E79" w:themeColor="accent5" w:themeShade="80"/>
        </w:rPr>
      </w:pPr>
      <w:r w:rsidRPr="001056FA">
        <w:rPr>
          <w:color w:val="1F4E79" w:themeColor="accent5" w:themeShade="80"/>
        </w:rPr>
        <w:t>Schedule 4 and schedule 5 controlled drugs are subject to minimal controls. Legally, they do not need to be stored in a controlled drug cupboard (</w:t>
      </w:r>
      <w:proofErr w:type="gramStart"/>
      <w:r w:rsidRPr="001056FA">
        <w:rPr>
          <w:color w:val="1F4E79" w:themeColor="accent5" w:themeShade="80"/>
        </w:rPr>
        <w:t>with the exception of</w:t>
      </w:r>
      <w:proofErr w:type="gramEnd"/>
      <w:r w:rsidRPr="001056FA">
        <w:rPr>
          <w:color w:val="1F4E79" w:themeColor="accent5" w:themeShade="80"/>
        </w:rPr>
        <w:t xml:space="preserve"> morphine sulphate solution 10mg/5ml which most care homes still keep registered and secure).</w:t>
      </w:r>
    </w:p>
    <w:p w14:paraId="7DD63387" w14:textId="67B70AF7" w:rsidR="00FB7DF5" w:rsidRPr="001056FA" w:rsidRDefault="00FB7DF5" w:rsidP="00FB7DF5">
      <w:pPr>
        <w:rPr>
          <w:color w:val="1F4E79" w:themeColor="accent5" w:themeShade="80"/>
        </w:rPr>
      </w:pPr>
      <w:r w:rsidRPr="001056FA">
        <w:rPr>
          <w:color w:val="1F4E79" w:themeColor="accent5" w:themeShade="80"/>
        </w:rPr>
        <w:t xml:space="preserve">It is important to remember though that these medicines can cause dependence and be subject to diversion, especially as there are fewer </w:t>
      </w:r>
      <w:proofErr w:type="gramStart"/>
      <w:r w:rsidRPr="001056FA">
        <w:rPr>
          <w:color w:val="1F4E79" w:themeColor="accent5" w:themeShade="80"/>
        </w:rPr>
        <w:t>controls</w:t>
      </w:r>
      <w:proofErr w:type="gramEnd"/>
      <w:r w:rsidRPr="001056FA">
        <w:rPr>
          <w:color w:val="1F4E79" w:themeColor="accent5" w:themeShade="80"/>
        </w:rPr>
        <w:t xml:space="preserve"> and</w:t>
      </w:r>
      <w:r w:rsidR="00042D5E" w:rsidRPr="001056FA">
        <w:rPr>
          <w:color w:val="1F4E79" w:themeColor="accent5" w:themeShade="80"/>
        </w:rPr>
        <w:t xml:space="preserve"> they</w:t>
      </w:r>
      <w:r w:rsidRPr="001056FA">
        <w:rPr>
          <w:color w:val="1F4E79" w:themeColor="accent5" w:themeShade="80"/>
        </w:rPr>
        <w:t xml:space="preserve"> are more easily accessible. Many of these preparations will be used when required so may not be accessed every day meaning that it may go unnoticed if some tablets go missing. </w:t>
      </w:r>
    </w:p>
    <w:p w14:paraId="3737201C" w14:textId="6F2A51E9" w:rsidR="00FB7DF5" w:rsidRPr="001056FA" w:rsidRDefault="00FB7DF5" w:rsidP="00FB7DF5">
      <w:pPr>
        <w:rPr>
          <w:color w:val="1F4E79" w:themeColor="accent5" w:themeShade="80"/>
        </w:rPr>
      </w:pPr>
      <w:r w:rsidRPr="001056FA">
        <w:rPr>
          <w:color w:val="1F4E79" w:themeColor="accent5" w:themeShade="80"/>
        </w:rPr>
        <w:t>It is important therefore to carry out regular stock checks of these medicines</w:t>
      </w:r>
      <w:r w:rsidR="00042D5E" w:rsidRPr="001056FA">
        <w:rPr>
          <w:color w:val="1F4E79" w:themeColor="accent5" w:themeShade="80"/>
        </w:rPr>
        <w:t xml:space="preserve"> and to keep as little patient stock as possible. If there is any suspicion of these medicines being misused place them into the controlled drug cupboard and register immediately to mitigate this. NICE guidance says that homes can choose to register lower </w:t>
      </w:r>
      <w:proofErr w:type="gramStart"/>
      <w:r w:rsidR="00042D5E" w:rsidRPr="001056FA">
        <w:rPr>
          <w:color w:val="1F4E79" w:themeColor="accent5" w:themeShade="80"/>
        </w:rPr>
        <w:t>schedule controlled</w:t>
      </w:r>
      <w:proofErr w:type="gramEnd"/>
      <w:r w:rsidR="00042D5E" w:rsidRPr="001056FA">
        <w:rPr>
          <w:color w:val="1F4E79" w:themeColor="accent5" w:themeShade="80"/>
        </w:rPr>
        <w:t xml:space="preserve"> drugs if they deem it necessary. </w:t>
      </w:r>
    </w:p>
    <w:p w14:paraId="4D155B33" w14:textId="528FF4AC" w:rsidR="00042D5E" w:rsidRPr="001056FA" w:rsidRDefault="00042D5E" w:rsidP="00FB7DF5">
      <w:pPr>
        <w:rPr>
          <w:color w:val="1F4E79" w:themeColor="accent5" w:themeShade="80"/>
        </w:rPr>
      </w:pPr>
      <w:r w:rsidRPr="001056FA">
        <w:rPr>
          <w:color w:val="1F4E79" w:themeColor="accent5" w:themeShade="80"/>
        </w:rPr>
        <w:t xml:space="preserve">See Bulletin CH003 on Reporting Controlled Drug Incidents for action to take if misuse of controlled drugs is suspected.  </w:t>
      </w:r>
    </w:p>
    <w:sectPr w:rsidR="00042D5E" w:rsidRPr="001056FA" w:rsidSect="00904B26">
      <w:headerReference w:type="default" r:id="rId10"/>
      <w:footerReference w:type="default" r:id="rId11"/>
      <w:pgSz w:w="11906" w:h="16838"/>
      <w:pgMar w:top="1440" w:right="1440" w:bottom="1440" w:left="1440" w:header="708" w:footer="708" w:gutter="0"/>
      <w:pgBorders w:offsetFrom="page">
        <w:top w:val="single" w:sz="24" w:space="24" w:color="1F4E79" w:themeColor="accent5" w:themeShade="80"/>
        <w:left w:val="single" w:sz="24" w:space="24" w:color="1F4E79" w:themeColor="accent5" w:themeShade="80"/>
        <w:bottom w:val="single" w:sz="24" w:space="24" w:color="1F4E79" w:themeColor="accent5" w:themeShade="80"/>
        <w:right w:val="single" w:sz="24" w:space="24" w:color="1F4E79" w:themeColor="accent5"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0EF374" w14:textId="77777777" w:rsidR="001F6590" w:rsidRDefault="001F6590" w:rsidP="00FB7DF5">
      <w:pPr>
        <w:spacing w:after="0" w:line="240" w:lineRule="auto"/>
      </w:pPr>
      <w:r>
        <w:separator/>
      </w:r>
    </w:p>
  </w:endnote>
  <w:endnote w:type="continuationSeparator" w:id="0">
    <w:p w14:paraId="014C214A" w14:textId="77777777" w:rsidR="001F6590" w:rsidRDefault="001F6590" w:rsidP="00FB7D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7C24D" w14:textId="6B3D82EA" w:rsidR="00FB7DF5" w:rsidRDefault="00FB7DF5">
    <w:pPr>
      <w:pStyle w:val="Footer"/>
    </w:pPr>
    <w:r>
      <w:t>*Schedule 4 Part 2 Controlled Drugs consist of androgenic and anabolic steroids and gonadotropins which are unlikely to be prescribed for care home residents.</w:t>
    </w:r>
  </w:p>
  <w:p w14:paraId="31D42E2D" w14:textId="1C0DEDFA" w:rsidR="00042D5E" w:rsidRDefault="00042D5E">
    <w:pPr>
      <w:pStyle w:val="Footer"/>
    </w:pPr>
    <w:r>
      <w:t>Sarah Kelsall Senior Pharmacy Technician 30.03.23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13E3A2" w14:textId="77777777" w:rsidR="001F6590" w:rsidRDefault="001F6590" w:rsidP="00FB7DF5">
      <w:pPr>
        <w:spacing w:after="0" w:line="240" w:lineRule="auto"/>
      </w:pPr>
      <w:r>
        <w:separator/>
      </w:r>
    </w:p>
  </w:footnote>
  <w:footnote w:type="continuationSeparator" w:id="0">
    <w:p w14:paraId="45E9B469" w14:textId="77777777" w:rsidR="001F6590" w:rsidRDefault="001F6590" w:rsidP="00FB7D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05496C" w14:textId="29FBD30F" w:rsidR="00FB7DF5" w:rsidRPr="00904B26" w:rsidRDefault="00FB7DF5">
    <w:pPr>
      <w:pStyle w:val="Header"/>
      <w:rPr>
        <w:color w:val="1F4E79" w:themeColor="accent5" w:themeShade="80"/>
      </w:rPr>
    </w:pPr>
    <w:r w:rsidRPr="00904B26">
      <w:rPr>
        <w:b/>
        <w:bCs/>
        <w:noProof/>
        <w:color w:val="1F4E79" w:themeColor="accent5" w:themeShade="80"/>
        <w:sz w:val="36"/>
        <w:szCs w:val="36"/>
      </w:rPr>
      <w:drawing>
        <wp:anchor distT="0" distB="0" distL="114300" distR="114300" simplePos="0" relativeHeight="251659264" behindDoc="1" locked="0" layoutInCell="1" allowOverlap="1" wp14:anchorId="7B754E9F" wp14:editId="452BA09D">
          <wp:simplePos x="0" y="0"/>
          <wp:positionH relativeFrom="column">
            <wp:posOffset>3562350</wp:posOffset>
          </wp:positionH>
          <wp:positionV relativeFrom="paragraph">
            <wp:posOffset>-86360</wp:posOffset>
          </wp:positionV>
          <wp:extent cx="2743200" cy="800100"/>
          <wp:effectExtent l="0" t="0" r="0" b="0"/>
          <wp:wrapTight wrapText="bothSides">
            <wp:wrapPolygon edited="0">
              <wp:start x="0" y="0"/>
              <wp:lineTo x="0" y="21086"/>
              <wp:lineTo x="21450" y="21086"/>
              <wp:lineTo x="21450" y="0"/>
              <wp:lineTo x="0" y="0"/>
            </wp:wrapPolygon>
          </wp:wrapTight>
          <wp:docPr id="4" name="Picture 4"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800100"/>
                  </a:xfrm>
                  <a:prstGeom prst="rect">
                    <a:avLst/>
                  </a:prstGeom>
                  <a:noFill/>
                  <a:ln>
                    <a:noFill/>
                  </a:ln>
                </pic:spPr>
              </pic:pic>
            </a:graphicData>
          </a:graphic>
        </wp:anchor>
      </w:drawing>
    </w:r>
    <w:r w:rsidRPr="00904B26">
      <w:rPr>
        <w:color w:val="1F4E79" w:themeColor="accent5" w:themeShade="80"/>
        <w:sz w:val="36"/>
        <w:szCs w:val="36"/>
      </w:rPr>
      <w:t>Schedule 4 and 5 Controlled Drugs</w:t>
    </w:r>
    <w:r w:rsidRPr="00904B26">
      <w:rPr>
        <w:color w:val="1F4E79" w:themeColor="accent5" w:themeShade="80"/>
        <w:sz w:val="28"/>
        <w:szCs w:val="28"/>
      </w:rPr>
      <w:t xml:space="preserve"> </w:t>
    </w:r>
    <w:r w:rsidRPr="00904B26">
      <w:rPr>
        <w:color w:val="1F4E79" w:themeColor="accent5" w:themeShade="80"/>
        <w:sz w:val="36"/>
        <w:szCs w:val="36"/>
      </w:rPr>
      <w:t>Guide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8237D3"/>
    <w:multiLevelType w:val="hybridMultilevel"/>
    <w:tmpl w:val="D0109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F10E2A"/>
    <w:multiLevelType w:val="hybridMultilevel"/>
    <w:tmpl w:val="0EB8E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65F6A38"/>
    <w:multiLevelType w:val="hybridMultilevel"/>
    <w:tmpl w:val="8398E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FB12595"/>
    <w:multiLevelType w:val="hybridMultilevel"/>
    <w:tmpl w:val="1706C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28478366">
    <w:abstractNumId w:val="2"/>
  </w:num>
  <w:num w:numId="2" w16cid:durableId="1667052003">
    <w:abstractNumId w:val="1"/>
  </w:num>
  <w:num w:numId="3" w16cid:durableId="267398302">
    <w:abstractNumId w:val="3"/>
  </w:num>
  <w:num w:numId="4" w16cid:durableId="14813392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7DF5"/>
    <w:rsid w:val="00042D5E"/>
    <w:rsid w:val="001056FA"/>
    <w:rsid w:val="001F6590"/>
    <w:rsid w:val="006030D1"/>
    <w:rsid w:val="00904B26"/>
    <w:rsid w:val="00FB7D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DA7AD7"/>
  <w15:chartTrackingRefBased/>
  <w15:docId w15:val="{BFAF0E14-E0E6-4CAB-B387-98AA7B5F7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7D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7DF5"/>
  </w:style>
  <w:style w:type="paragraph" w:styleId="Footer">
    <w:name w:val="footer"/>
    <w:basedOn w:val="Normal"/>
    <w:link w:val="FooterChar"/>
    <w:uiPriority w:val="99"/>
    <w:unhideWhenUsed/>
    <w:rsid w:val="00FB7D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7DF5"/>
  </w:style>
  <w:style w:type="paragraph" w:styleId="ListParagraph">
    <w:name w:val="List Paragraph"/>
    <w:basedOn w:val="Normal"/>
    <w:uiPriority w:val="34"/>
    <w:qFormat/>
    <w:rsid w:val="00FB7D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Finalised_x003f_ xmlns="a52a7c76-ceac-446d-ac85-cb82d00e3116">false</Finalised_x003f_>
    <Order0 xmlns="a52a7c76-ceac-446d-ac85-cb82d00e3116" xsi:nil="true"/>
    <ResponsiblePerson xmlns="a52a7c76-ceac-446d-ac85-cb82d00e3116">
      <UserInfo>
        <DisplayName/>
        <AccountId xsi:nil="true"/>
        <AccountType/>
      </UserInfo>
    </ResponsiblePerson>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0" ma:contentTypeDescription="Create a new document." ma:contentTypeScope="" ma:versionID="ad3b0ba5862fe96e95c6177193a01d50">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148f812bdc9a7740e0db16433a080bc2"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454CF71-6AA9-49A1-A7E7-C106E1FF63F5}">
  <ds:schemaRefs>
    <ds:schemaRef ds:uri="http://schemas.microsoft.com/sharepoint/v3/contenttype/forms"/>
  </ds:schemaRefs>
</ds:datastoreItem>
</file>

<file path=customXml/itemProps2.xml><?xml version="1.0" encoding="utf-8"?>
<ds:datastoreItem xmlns:ds="http://schemas.openxmlformats.org/officeDocument/2006/customXml" ds:itemID="{EB3CCE2B-F590-4D7A-A5FE-757B78E08941}">
  <ds:schemaRefs>
    <ds:schemaRef ds:uri="http://schemas.microsoft.com/office/2006/metadata/properties"/>
    <ds:schemaRef ds:uri="http://schemas.microsoft.com/office/infopath/2007/PartnerControls"/>
    <ds:schemaRef ds:uri="6414e7a8-3859-4baa-9b8d-a01e638680ef"/>
    <ds:schemaRef ds:uri="a52a7c76-ceac-446d-ac85-cb82d00e3116"/>
  </ds:schemaRefs>
</ds:datastoreItem>
</file>

<file path=customXml/itemProps3.xml><?xml version="1.0" encoding="utf-8"?>
<ds:datastoreItem xmlns:ds="http://schemas.openxmlformats.org/officeDocument/2006/customXml" ds:itemID="{C5145DD9-5CA0-4DD6-A4F6-F7C2B9195880}"/>
</file>

<file path=docProps/app.xml><?xml version="1.0" encoding="utf-8"?>
<Properties xmlns="http://schemas.openxmlformats.org/officeDocument/2006/extended-properties" xmlns:vt="http://schemas.openxmlformats.org/officeDocument/2006/docPropsVTypes">
  <Template>Normal</Template>
  <TotalTime>37</TotalTime>
  <Pages>1</Pages>
  <Words>213</Words>
  <Characters>1217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Bwrdd Iechyd Addysgu Powys Teaching Health Board</Company>
  <LinksUpToDate>false</LinksUpToDate>
  <CharactersWithSpaces>1428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Kelsall (Powys Teaching Health Board – Pharmacy &amp; Medicines Management)</dc:creator>
  <cp:keywords/>
  <dc:description/>
  <cp:lastModifiedBy>Sarah Kelsall (PTHB – Pharmacy &amp; Medicines Management)</cp:lastModifiedBy>
  <cp:revision>3</cp:revision>
  <dcterms:created xsi:type="dcterms:W3CDTF">2023-03-30T07:52:00Z</dcterms:created>
  <dcterms:modified xsi:type="dcterms:W3CDTF">2023-04-11T16:06:00Z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MediaServiceImageTags">
    <vt:lpwstr/>
  </property>
</Properties>
</file>