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24BC0D" w14:textId="77777777" w:rsidR="000A07DC" w:rsidRPr="003A78B9" w:rsidRDefault="000A07DC" w:rsidP="003A78B9">
      <w:pPr>
        <w:pStyle w:val="Title"/>
        <w:jc w:val="center"/>
        <w:rPr>
          <w:u w:val="single"/>
        </w:rPr>
      </w:pPr>
    </w:p>
    <w:p w14:paraId="750901CD" w14:textId="122B36BE" w:rsidR="005D4354" w:rsidRPr="00BF51B7" w:rsidRDefault="005D4354" w:rsidP="003A78B9">
      <w:pPr>
        <w:pStyle w:val="Title"/>
        <w:jc w:val="center"/>
        <w:rPr>
          <w:rFonts w:ascii="Calibri" w:hAnsi="Calibri" w:cs="Calibri"/>
          <w:color w:val="1F3864" w:themeColor="accent1" w:themeShade="80"/>
          <w:sz w:val="22"/>
          <w:szCs w:val="22"/>
          <w:u w:val="single"/>
        </w:rPr>
      </w:pPr>
      <w:r w:rsidRPr="00BF51B7">
        <w:rPr>
          <w:rFonts w:ascii="Calibri" w:hAnsi="Calibri" w:cs="Calibri"/>
          <w:color w:val="1F3864" w:themeColor="accent1" w:themeShade="80"/>
          <w:sz w:val="22"/>
          <w:szCs w:val="22"/>
          <w:u w:val="single"/>
        </w:rPr>
        <w:t>Good Practice Guidance: Self</w:t>
      </w:r>
      <w:r w:rsidR="00AD01A3" w:rsidRPr="00BF51B7">
        <w:rPr>
          <w:rFonts w:ascii="Calibri" w:hAnsi="Calibri" w:cs="Calibri"/>
          <w:color w:val="1F3864" w:themeColor="accent1" w:themeShade="80"/>
          <w:sz w:val="22"/>
          <w:szCs w:val="22"/>
          <w:u w:val="single"/>
        </w:rPr>
        <w:t xml:space="preserve"> a</w:t>
      </w:r>
      <w:r w:rsidRPr="00BF51B7">
        <w:rPr>
          <w:rFonts w:ascii="Calibri" w:hAnsi="Calibri" w:cs="Calibri"/>
          <w:color w:val="1F3864" w:themeColor="accent1" w:themeShade="80"/>
          <w:sz w:val="22"/>
          <w:szCs w:val="22"/>
          <w:u w:val="single"/>
        </w:rPr>
        <w:t>dministration of medicines in Care homes</w:t>
      </w:r>
    </w:p>
    <w:p w14:paraId="40C2989C" w14:textId="77777777" w:rsidR="005D4354" w:rsidRPr="00BF51B7" w:rsidRDefault="005D4354" w:rsidP="00C1057D">
      <w:pPr>
        <w:spacing w:after="0"/>
        <w:rPr>
          <w:rFonts w:ascii="Calibri" w:hAnsi="Calibri" w:cs="Calibri"/>
          <w:color w:val="1F3864" w:themeColor="accent1" w:themeShade="80"/>
          <w:u w:val="single"/>
        </w:rPr>
      </w:pPr>
      <w:r w:rsidRPr="00BF51B7">
        <w:rPr>
          <w:rFonts w:ascii="Calibri" w:hAnsi="Calibri" w:cs="Calibri"/>
          <w:color w:val="1F3864" w:themeColor="accent1" w:themeShade="80"/>
          <w:u w:val="single"/>
        </w:rPr>
        <w:t xml:space="preserve"> Introduction </w:t>
      </w:r>
    </w:p>
    <w:p w14:paraId="0AE9E976" w14:textId="77777777" w:rsidR="003A78B9"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Residents have the right to choose to manage their own medicines with appropriate support from care home staff. Self-administration of medicines can help to support maintenance of a person’s independence and dignity.</w:t>
      </w:r>
    </w:p>
    <w:p w14:paraId="2D030C40" w14:textId="77777777" w:rsidR="00C1057D" w:rsidRPr="00BF51B7" w:rsidRDefault="00C1057D" w:rsidP="00C1057D">
      <w:pPr>
        <w:spacing w:after="0"/>
        <w:rPr>
          <w:rFonts w:ascii="Calibri" w:hAnsi="Calibri" w:cs="Calibri"/>
          <w:color w:val="1F3864" w:themeColor="accent1" w:themeShade="80"/>
        </w:rPr>
      </w:pPr>
    </w:p>
    <w:p w14:paraId="1087D637" w14:textId="597572B7" w:rsidR="003A78B9"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Any process involving self-administration of medicines must be subject to a risk assessment, reviewed at regular intervals and when there is any change in the resident’s circumstances. Within the care home good practices must be maintained and adhered to ensure safety of the resident and staff involved when self-administering medication.</w:t>
      </w:r>
    </w:p>
    <w:p w14:paraId="4DBA3104" w14:textId="77777777" w:rsidR="00C1057D" w:rsidRPr="00BF51B7" w:rsidRDefault="00C1057D" w:rsidP="00C1057D">
      <w:pPr>
        <w:spacing w:after="0"/>
        <w:rPr>
          <w:rFonts w:ascii="Calibri" w:hAnsi="Calibri" w:cs="Calibri"/>
          <w:color w:val="1F3864" w:themeColor="accent1" w:themeShade="80"/>
        </w:rPr>
      </w:pPr>
    </w:p>
    <w:p w14:paraId="0B90B24A" w14:textId="09BEC933"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When people are receiving short-term respite or intermediate care, they need to maintain their skills. This includes keeping the skills they need to continue to be able to take their own medicines when they return home.</w:t>
      </w:r>
    </w:p>
    <w:p w14:paraId="7B674389" w14:textId="77777777" w:rsidR="00C1057D" w:rsidRPr="00BF51B7" w:rsidRDefault="00C1057D" w:rsidP="00C1057D">
      <w:pPr>
        <w:spacing w:after="0"/>
        <w:rPr>
          <w:rFonts w:ascii="Calibri" w:hAnsi="Calibri" w:cs="Calibri"/>
          <w:color w:val="1F3864" w:themeColor="accent1" w:themeShade="80"/>
        </w:rPr>
      </w:pPr>
    </w:p>
    <w:p w14:paraId="3112AB69" w14:textId="77777777"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Residents have 3 options in respect to the administration of medication. These are: </w:t>
      </w:r>
    </w:p>
    <w:p w14:paraId="144FBF1D" w14:textId="486BDED5"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1. Residents that </w:t>
      </w:r>
      <w:r w:rsidR="00AD01A3" w:rsidRPr="00BF51B7">
        <w:rPr>
          <w:rFonts w:ascii="Calibri" w:hAnsi="Calibri" w:cs="Calibri"/>
          <w:color w:val="1F3864" w:themeColor="accent1" w:themeShade="80"/>
        </w:rPr>
        <w:t>can</w:t>
      </w:r>
      <w:r w:rsidRPr="00BF51B7">
        <w:rPr>
          <w:rFonts w:ascii="Calibri" w:hAnsi="Calibri" w:cs="Calibri"/>
          <w:color w:val="1F3864" w:themeColor="accent1" w:themeShade="80"/>
        </w:rPr>
        <w:t xml:space="preserve"> self-administer </w:t>
      </w:r>
    </w:p>
    <w:p w14:paraId="04803426" w14:textId="77777777"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2. Residents that require support with self-administration e.g. prompting, or opening bottles etc</w:t>
      </w:r>
    </w:p>
    <w:p w14:paraId="2749DB66" w14:textId="0E3C6874"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3. Residents wanting or requiring full assistance for administration of medication </w:t>
      </w:r>
    </w:p>
    <w:p w14:paraId="0B4E66BA" w14:textId="77777777" w:rsidR="00C1057D" w:rsidRPr="00BF51B7" w:rsidRDefault="00C1057D" w:rsidP="00C1057D">
      <w:pPr>
        <w:spacing w:after="0"/>
        <w:rPr>
          <w:rFonts w:ascii="Calibri" w:hAnsi="Calibri" w:cs="Calibri"/>
          <w:color w:val="1F3864" w:themeColor="accent1" w:themeShade="80"/>
        </w:rPr>
      </w:pPr>
    </w:p>
    <w:p w14:paraId="5D799880" w14:textId="2D95B679"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The type of administration practice should be determined using a risk </w:t>
      </w:r>
      <w:r w:rsidR="00AE4346" w:rsidRPr="00BF51B7">
        <w:rPr>
          <w:rFonts w:ascii="Calibri" w:hAnsi="Calibri" w:cs="Calibri"/>
          <w:color w:val="1F3864" w:themeColor="accent1" w:themeShade="80"/>
        </w:rPr>
        <w:t>assessment</w:t>
      </w:r>
      <w:r w:rsidR="00AE4346">
        <w:rPr>
          <w:rFonts w:ascii="Calibri" w:hAnsi="Calibri" w:cs="Calibri"/>
          <w:color w:val="1F3864" w:themeColor="accent1" w:themeShade="80"/>
        </w:rPr>
        <w:t>,</w:t>
      </w:r>
      <w:r w:rsidR="00AE4346" w:rsidRPr="00BF51B7">
        <w:rPr>
          <w:rFonts w:ascii="Calibri" w:hAnsi="Calibri" w:cs="Calibri"/>
          <w:color w:val="1F3864" w:themeColor="accent1" w:themeShade="80"/>
        </w:rPr>
        <w:t xml:space="preserve"> carried</w:t>
      </w:r>
      <w:r w:rsidRPr="00BF51B7">
        <w:rPr>
          <w:rFonts w:ascii="Calibri" w:hAnsi="Calibri" w:cs="Calibri"/>
          <w:color w:val="1F3864" w:themeColor="accent1" w:themeShade="80"/>
        </w:rPr>
        <w:t xml:space="preserve"> out by a trained/competent member of staff. </w:t>
      </w:r>
    </w:p>
    <w:p w14:paraId="1A40A523" w14:textId="77777777" w:rsidR="00C1057D" w:rsidRPr="00BF51B7" w:rsidRDefault="00C1057D" w:rsidP="00C1057D">
      <w:pPr>
        <w:spacing w:after="0"/>
        <w:rPr>
          <w:rFonts w:ascii="Calibri" w:hAnsi="Calibri" w:cs="Calibri"/>
          <w:color w:val="1F3864" w:themeColor="accent1" w:themeShade="80"/>
        </w:rPr>
      </w:pPr>
    </w:p>
    <w:p w14:paraId="4A6066F9" w14:textId="77777777" w:rsidR="00C1057D" w:rsidRPr="00BF51B7" w:rsidRDefault="005D4354" w:rsidP="00C1057D">
      <w:pPr>
        <w:spacing w:after="0"/>
        <w:rPr>
          <w:rFonts w:ascii="Calibri" w:hAnsi="Calibri" w:cs="Calibri"/>
          <w:color w:val="1F3864" w:themeColor="accent1" w:themeShade="80"/>
          <w:u w:val="single"/>
        </w:rPr>
      </w:pPr>
      <w:r w:rsidRPr="00BF51B7">
        <w:rPr>
          <w:rFonts w:ascii="Calibri" w:hAnsi="Calibri" w:cs="Calibri"/>
          <w:color w:val="1F3864" w:themeColor="accent1" w:themeShade="80"/>
          <w:u w:val="single"/>
        </w:rPr>
        <w:t xml:space="preserve">Policies and procedures </w:t>
      </w:r>
    </w:p>
    <w:p w14:paraId="631D1285" w14:textId="1CDC4C1B"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You should have a policy in place for self-administration of medicines. </w:t>
      </w:r>
    </w:p>
    <w:p w14:paraId="0E40A6BC" w14:textId="5645AAAC"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The process for </w:t>
      </w:r>
      <w:r w:rsidR="00C1057D" w:rsidRPr="00BF51B7">
        <w:rPr>
          <w:rFonts w:ascii="Calibri" w:hAnsi="Calibri" w:cs="Calibri"/>
          <w:color w:val="1F3864" w:themeColor="accent1" w:themeShade="80"/>
        </w:rPr>
        <w:t>self-administration</w:t>
      </w:r>
      <w:r w:rsidRPr="00BF51B7">
        <w:rPr>
          <w:rFonts w:ascii="Calibri" w:hAnsi="Calibri" w:cs="Calibri"/>
          <w:color w:val="1F3864" w:themeColor="accent1" w:themeShade="80"/>
        </w:rPr>
        <w:t xml:space="preserve"> of medicines (including controlled drugs) should include:</w:t>
      </w:r>
    </w:p>
    <w:p w14:paraId="50C6C715" w14:textId="77777777"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 an individual risk assessment</w:t>
      </w:r>
    </w:p>
    <w:p w14:paraId="765568CC" w14:textId="77777777"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 obtaining or ordering medicines </w:t>
      </w:r>
    </w:p>
    <w:p w14:paraId="7E3C1A27" w14:textId="77777777"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storing medicines </w:t>
      </w:r>
    </w:p>
    <w:p w14:paraId="20B08177" w14:textId="77777777"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keeping records </w:t>
      </w:r>
    </w:p>
    <w:p w14:paraId="363EC28E" w14:textId="77777777"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supporting people to take their medicines if necessary</w:t>
      </w:r>
    </w:p>
    <w:p w14:paraId="32764FEF" w14:textId="77777777" w:rsidR="00C1057D"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 monitoring adherence</w:t>
      </w:r>
    </w:p>
    <w:p w14:paraId="5C5E33F3" w14:textId="20BA9F19" w:rsidR="00A36A1A" w:rsidRPr="00BF51B7" w:rsidRDefault="005D4354" w:rsidP="00C1057D">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 disposing of unwanted medicines</w:t>
      </w:r>
    </w:p>
    <w:p w14:paraId="702D2048" w14:textId="77777777" w:rsidR="00AD01A3" w:rsidRPr="00BF51B7" w:rsidRDefault="00AD01A3" w:rsidP="00D96FF2">
      <w:pPr>
        <w:rPr>
          <w:rFonts w:ascii="Calibri" w:hAnsi="Calibri" w:cs="Calibri"/>
          <w:b/>
          <w:bCs/>
          <w:color w:val="1F3864" w:themeColor="accent1" w:themeShade="80"/>
          <w:u w:val="single"/>
        </w:rPr>
      </w:pPr>
    </w:p>
    <w:p w14:paraId="02F4F334" w14:textId="2D13EB0D" w:rsidR="00DD07A7" w:rsidRPr="00BF51B7" w:rsidRDefault="00DD07A7" w:rsidP="00D96FF2">
      <w:pPr>
        <w:rPr>
          <w:rFonts w:ascii="Calibri" w:hAnsi="Calibri" w:cs="Calibri"/>
          <w:color w:val="1F3864" w:themeColor="accent1" w:themeShade="80"/>
          <w:u w:val="single"/>
        </w:rPr>
      </w:pPr>
      <w:r w:rsidRPr="00BF51B7">
        <w:rPr>
          <w:rFonts w:ascii="Calibri" w:hAnsi="Calibri" w:cs="Calibri"/>
          <w:color w:val="1F3864" w:themeColor="accent1" w:themeShade="80"/>
          <w:u w:val="single"/>
        </w:rPr>
        <w:t xml:space="preserve">Individual risk assessment </w:t>
      </w:r>
    </w:p>
    <w:p w14:paraId="19A9CEF3" w14:textId="77777777" w:rsidR="00176340" w:rsidRPr="00BF51B7" w:rsidRDefault="00DD07A7" w:rsidP="00DD07A7">
      <w:pPr>
        <w:rPr>
          <w:rFonts w:ascii="Calibri" w:hAnsi="Calibri" w:cs="Calibri"/>
          <w:color w:val="1F3864" w:themeColor="accent1" w:themeShade="80"/>
        </w:rPr>
      </w:pPr>
      <w:r w:rsidRPr="00BF51B7">
        <w:rPr>
          <w:rFonts w:ascii="Calibri" w:hAnsi="Calibri" w:cs="Calibri"/>
          <w:color w:val="1F3864" w:themeColor="accent1" w:themeShade="80"/>
        </w:rPr>
        <w:t xml:space="preserve">Self-administration varies resident to resident. Care home staff must deduce how much support a resident requires for self-administration by completing a risk assessment (Appendix 1). </w:t>
      </w:r>
    </w:p>
    <w:p w14:paraId="25741D1D" w14:textId="5D1A3D7A" w:rsidR="008E30F0" w:rsidRPr="00BF51B7" w:rsidRDefault="00DD07A7" w:rsidP="00DD07A7">
      <w:pPr>
        <w:rPr>
          <w:rFonts w:ascii="Calibri" w:hAnsi="Calibri" w:cs="Calibri"/>
          <w:color w:val="1F3864" w:themeColor="accent1" w:themeShade="80"/>
        </w:rPr>
      </w:pPr>
      <w:r w:rsidRPr="00BF51B7">
        <w:rPr>
          <w:rFonts w:ascii="Calibri" w:hAnsi="Calibri" w:cs="Calibri"/>
          <w:color w:val="1F3864" w:themeColor="accent1" w:themeShade="80"/>
        </w:rPr>
        <w:t xml:space="preserve">The care home manager should coordinate the risk assessment and decide who to involve. Any member of staff involved in completing a risk assessment must ensure they have appropriate training. The resident and their family members should be involved. Health care professionals e.g. GP and Pharmacist, can offer help and advice to the care home and resident when assessing </w:t>
      </w:r>
      <w:r w:rsidRPr="00BF51B7">
        <w:rPr>
          <w:rFonts w:ascii="Calibri" w:hAnsi="Calibri" w:cs="Calibri"/>
          <w:color w:val="1F3864" w:themeColor="accent1" w:themeShade="80"/>
        </w:rPr>
        <w:lastRenderedPageBreak/>
        <w:t>suitability for self-administration of medications. For example, they could identify how to adjust the medication regime to make them easier to self-administer</w:t>
      </w:r>
      <w:r w:rsidR="0052580B" w:rsidRPr="00BF51B7">
        <w:rPr>
          <w:rFonts w:ascii="Calibri" w:hAnsi="Calibri" w:cs="Calibri"/>
          <w:color w:val="1F3864" w:themeColor="accent1" w:themeShade="80"/>
        </w:rPr>
        <w:t>.</w:t>
      </w:r>
    </w:p>
    <w:p w14:paraId="2B6A202A" w14:textId="77777777" w:rsidR="0052580B" w:rsidRPr="00BF51B7" w:rsidRDefault="0052580B" w:rsidP="0052580B">
      <w:pPr>
        <w:rPr>
          <w:rFonts w:ascii="Calibri" w:hAnsi="Calibri" w:cs="Calibri"/>
          <w:color w:val="1F3864" w:themeColor="accent1" w:themeShade="80"/>
        </w:rPr>
      </w:pPr>
      <w:r w:rsidRPr="00BF51B7">
        <w:rPr>
          <w:rFonts w:ascii="Calibri" w:hAnsi="Calibri" w:cs="Calibri"/>
          <w:color w:val="1F3864" w:themeColor="accent1" w:themeShade="80"/>
        </w:rPr>
        <w:t>Risk assessment should consider:</w:t>
      </w:r>
    </w:p>
    <w:p w14:paraId="2160BA76"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Can the resident identify all the medication they are taking and what they are taking them </w:t>
      </w:r>
    </w:p>
    <w:p w14:paraId="16DDF41F"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for?</w:t>
      </w:r>
    </w:p>
    <w:p w14:paraId="5BEB0607"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Does the resident know when to take each medication?</w:t>
      </w:r>
    </w:p>
    <w:p w14:paraId="6253204B"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Does the resident know how much of each medication to take?</w:t>
      </w:r>
    </w:p>
    <w:p w14:paraId="2A0AD0B6"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Can the resident safely remove the medication from the packaging?</w:t>
      </w:r>
    </w:p>
    <w:p w14:paraId="7BF5AC6E"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Does the resident have any other dexterity issues, such as:</w:t>
      </w:r>
    </w:p>
    <w:p w14:paraId="1AE501C2"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able to remove medication from bottles or other containers which have a child </w:t>
      </w:r>
    </w:p>
    <w:p w14:paraId="5E812473"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resistance lock cap? </w:t>
      </w:r>
    </w:p>
    <w:p w14:paraId="1B6039BA"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able to take tablets but requiring support to administer eye drops</w:t>
      </w:r>
    </w:p>
    <w:p w14:paraId="55936844"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Does the resident have visual impairment? </w:t>
      </w:r>
    </w:p>
    <w:p w14:paraId="1313CE6D"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Does the resident have the mental capacity to self-administer medication?</w:t>
      </w:r>
    </w:p>
    <w:p w14:paraId="79E2D747"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Has the resident had problems with forgetting to take medication in the past?</w:t>
      </w:r>
    </w:p>
    <w:p w14:paraId="0E69BB07"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Can the resident measure and take liquid medication?</w:t>
      </w:r>
    </w:p>
    <w:p w14:paraId="0938B551"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Does the resident understand the requirements of the safe and secure storage of </w:t>
      </w:r>
    </w:p>
    <w:p w14:paraId="5F9099A0"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medication whilst in the care home?</w:t>
      </w:r>
    </w:p>
    <w:p w14:paraId="4962679D"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Does the resident’s room have an appropriate lockable cupboard or drawer in which to </w:t>
      </w:r>
    </w:p>
    <w:p w14:paraId="5F2DDFBB" w14:textId="5EE128A1"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store medications </w:t>
      </w:r>
      <w:r w:rsidR="003C73AC" w:rsidRPr="00BF51B7">
        <w:rPr>
          <w:rFonts w:ascii="Calibri" w:hAnsi="Calibri" w:cs="Calibri"/>
          <w:color w:val="1F3864" w:themeColor="accent1" w:themeShade="80"/>
        </w:rPr>
        <w:t>safely.</w:t>
      </w:r>
    </w:p>
    <w:p w14:paraId="7DECDFC6"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Are the resident and care home aware how often the risk assessment should be reviewed </w:t>
      </w:r>
    </w:p>
    <w:p w14:paraId="03519CC7"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or repeated? This should be based on the person’s need which could change e.g. during </w:t>
      </w:r>
    </w:p>
    <w:p w14:paraId="6CF83CDB" w14:textId="77777777" w:rsidR="0052580B" w:rsidRPr="00BF51B7" w:rsidRDefault="0052580B" w:rsidP="00BA45BB">
      <w:pPr>
        <w:spacing w:after="0"/>
        <w:rPr>
          <w:rFonts w:ascii="Calibri" w:hAnsi="Calibri" w:cs="Calibri"/>
          <w:color w:val="1F3864" w:themeColor="accent1" w:themeShade="80"/>
        </w:rPr>
      </w:pPr>
      <w:r w:rsidRPr="00BF51B7">
        <w:rPr>
          <w:rFonts w:ascii="Calibri" w:hAnsi="Calibri" w:cs="Calibri"/>
          <w:color w:val="1F3864" w:themeColor="accent1" w:themeShade="80"/>
        </w:rPr>
        <w:t>an acute illness.</w:t>
      </w:r>
    </w:p>
    <w:p w14:paraId="0A43911B"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Responsibilities of the care home staff. Record these in the person’s care plan. Include an </w:t>
      </w:r>
    </w:p>
    <w:p w14:paraId="5D226072"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effective way of monitoring adherence.</w:t>
      </w:r>
    </w:p>
    <w:p w14:paraId="5493A569" w14:textId="77777777" w:rsidR="00325F49" w:rsidRPr="00BF51B7" w:rsidRDefault="00325F49" w:rsidP="00325F49">
      <w:pPr>
        <w:spacing w:after="0"/>
        <w:rPr>
          <w:rFonts w:ascii="Calibri" w:hAnsi="Calibri" w:cs="Calibri"/>
          <w:color w:val="1F3864" w:themeColor="accent1" w:themeShade="80"/>
        </w:rPr>
      </w:pPr>
    </w:p>
    <w:p w14:paraId="0ADAD2A1"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If the designated responsible person at the care home conducting the risk assessment assesses the </w:t>
      </w:r>
    </w:p>
    <w:p w14:paraId="07CF1C78"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resident is able and safe to self-administer medication, it is recommended that the resident is </w:t>
      </w:r>
    </w:p>
    <w:p w14:paraId="2F83E0FD"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observed once the medication has been received (on the first day), one week later and at the end of </w:t>
      </w:r>
    </w:p>
    <w:p w14:paraId="715B28FE"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the first 28-day cycle. This ensures that the resident is self-administering safely and correctly. When </w:t>
      </w:r>
    </w:p>
    <w:p w14:paraId="5140855E"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the nurse or designated responsible person at the care home is satisfied that the service user can</w:t>
      </w:r>
    </w:p>
    <w:p w14:paraId="334952F9"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self- administer medication then the period of observation can be ended. This must be documented </w:t>
      </w:r>
    </w:p>
    <w:p w14:paraId="1F00DC8C"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in the resident’s care plans. </w:t>
      </w:r>
    </w:p>
    <w:p w14:paraId="237DB8BC" w14:textId="77777777" w:rsidR="007A6B92" w:rsidRPr="00BF51B7" w:rsidRDefault="007A6B92" w:rsidP="00325F49">
      <w:pPr>
        <w:spacing w:after="0"/>
        <w:rPr>
          <w:rFonts w:ascii="Calibri" w:hAnsi="Calibri" w:cs="Calibri"/>
          <w:color w:val="1F3864" w:themeColor="accent1" w:themeShade="80"/>
        </w:rPr>
      </w:pPr>
    </w:p>
    <w:p w14:paraId="7F19A246"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The resident must be periodically assessed including when there is a deterioration in their mental </w:t>
      </w:r>
    </w:p>
    <w:p w14:paraId="15735935"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capacity/cognition and/or health which affects their ability to self-administer their medication(s) or </w:t>
      </w:r>
    </w:p>
    <w:p w14:paraId="053210D0"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remain capable of upholding the required responsibilities.</w:t>
      </w:r>
    </w:p>
    <w:p w14:paraId="03AD55F2" w14:textId="77777777" w:rsidR="007A6B92" w:rsidRPr="00BF51B7" w:rsidRDefault="007A6B92" w:rsidP="00325F49">
      <w:pPr>
        <w:spacing w:after="0"/>
        <w:rPr>
          <w:rFonts w:ascii="Calibri" w:hAnsi="Calibri" w:cs="Calibri"/>
          <w:color w:val="1F3864" w:themeColor="accent1" w:themeShade="80"/>
        </w:rPr>
      </w:pPr>
    </w:p>
    <w:p w14:paraId="6CBBA4C5"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The observation process should include the following:</w:t>
      </w:r>
    </w:p>
    <w:p w14:paraId="75AD1605"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The resident stores medication in a lockable drawer or cupboard.</w:t>
      </w:r>
    </w:p>
    <w:p w14:paraId="0C32B2C8"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The resident must not give the key to the lockable storage area to another resident.</w:t>
      </w:r>
    </w:p>
    <w:p w14:paraId="10016AF7"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The resident must understand what each medication is for.</w:t>
      </w:r>
    </w:p>
    <w:p w14:paraId="21714413"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Observation of the resident taking the correct medication at the correct time of day.</w:t>
      </w:r>
    </w:p>
    <w:p w14:paraId="114D452D"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The resident must be able to differentiate between the different types of medication ensuring </w:t>
      </w:r>
    </w:p>
    <w:p w14:paraId="5C6392A2"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that they are taking the right medication at the right time.</w:t>
      </w:r>
    </w:p>
    <w:p w14:paraId="72FD2F09"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The resident must be able to remove the correct dose of medication from the container.</w:t>
      </w:r>
    </w:p>
    <w:p w14:paraId="76025278" w14:textId="77777777"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The resident must take the correct dose of medication with an adequate amount of fluid, </w:t>
      </w:r>
    </w:p>
    <w:p w14:paraId="13A34C72" w14:textId="48EA897B" w:rsidR="0052580B" w:rsidRPr="00BF51B7" w:rsidRDefault="0052580B" w:rsidP="00325F49">
      <w:pPr>
        <w:spacing w:after="0"/>
        <w:rPr>
          <w:rFonts w:ascii="Calibri" w:hAnsi="Calibri" w:cs="Calibri"/>
          <w:color w:val="1F3864" w:themeColor="accent1" w:themeShade="80"/>
        </w:rPr>
      </w:pPr>
      <w:r w:rsidRPr="00BF51B7">
        <w:rPr>
          <w:rFonts w:ascii="Calibri" w:hAnsi="Calibri" w:cs="Calibri"/>
          <w:color w:val="1F3864" w:themeColor="accent1" w:themeShade="80"/>
        </w:rPr>
        <w:t>preferably water</w:t>
      </w:r>
      <w:r w:rsidR="00D51E08" w:rsidRPr="00BF51B7">
        <w:rPr>
          <w:rFonts w:ascii="Calibri" w:hAnsi="Calibri" w:cs="Calibri"/>
          <w:color w:val="1F3864" w:themeColor="accent1" w:themeShade="80"/>
        </w:rPr>
        <w:t>.</w:t>
      </w:r>
    </w:p>
    <w:p w14:paraId="3A220C36" w14:textId="77777777" w:rsidR="00D51E08" w:rsidRPr="00BF51B7" w:rsidRDefault="00D51E08" w:rsidP="00325F49">
      <w:pPr>
        <w:spacing w:after="0"/>
        <w:rPr>
          <w:rFonts w:ascii="Calibri" w:hAnsi="Calibri" w:cs="Calibri"/>
          <w:color w:val="1F3864" w:themeColor="accent1" w:themeShade="80"/>
        </w:rPr>
      </w:pPr>
    </w:p>
    <w:p w14:paraId="36A02377" w14:textId="77777777" w:rsidR="00D51E08" w:rsidRPr="00BF51B7" w:rsidRDefault="00D51E08" w:rsidP="00D51E08">
      <w:pPr>
        <w:spacing w:after="0"/>
        <w:rPr>
          <w:rFonts w:ascii="Calibri" w:hAnsi="Calibri" w:cs="Calibri"/>
          <w:color w:val="1F3864" w:themeColor="accent1" w:themeShade="80"/>
          <w:u w:val="single"/>
        </w:rPr>
      </w:pPr>
      <w:r w:rsidRPr="00BF51B7">
        <w:rPr>
          <w:rFonts w:ascii="Calibri" w:hAnsi="Calibri" w:cs="Calibri"/>
          <w:color w:val="1F3864" w:themeColor="accent1" w:themeShade="80"/>
          <w:u w:val="single"/>
        </w:rPr>
        <w:t>Support to self-administer</w:t>
      </w:r>
    </w:p>
    <w:p w14:paraId="387D4B19"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Additional support for residents to self-administer could include:</w:t>
      </w:r>
    </w:p>
    <w:p w14:paraId="39B6C0C5"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reasonable adjustments such as:</w:t>
      </w:r>
    </w:p>
    <w:p w14:paraId="330E125E" w14:textId="77777777" w:rsidR="00D51E08" w:rsidRPr="00BF51B7" w:rsidRDefault="00D51E08" w:rsidP="0072433D">
      <w:pPr>
        <w:spacing w:after="0"/>
        <w:rPr>
          <w:rFonts w:ascii="Calibri" w:hAnsi="Calibri" w:cs="Calibri"/>
          <w:color w:val="1F3864" w:themeColor="accent1" w:themeShade="80"/>
        </w:rPr>
      </w:pPr>
      <w:r w:rsidRPr="00BF51B7">
        <w:rPr>
          <w:rFonts w:ascii="Calibri" w:hAnsi="Calibri" w:cs="Calibri"/>
          <w:color w:val="1F3864" w:themeColor="accent1" w:themeShade="80"/>
        </w:rPr>
        <w:t>- large print labels</w:t>
      </w:r>
    </w:p>
    <w:p w14:paraId="3DE380F5" w14:textId="77777777" w:rsidR="00D51E08" w:rsidRPr="00BF51B7" w:rsidRDefault="00D51E08" w:rsidP="0072433D">
      <w:pPr>
        <w:spacing w:after="0"/>
        <w:rPr>
          <w:rFonts w:ascii="Calibri" w:hAnsi="Calibri" w:cs="Calibri"/>
          <w:color w:val="1F3864" w:themeColor="accent1" w:themeShade="80"/>
        </w:rPr>
      </w:pPr>
      <w:r w:rsidRPr="00BF51B7">
        <w:rPr>
          <w:rFonts w:ascii="Calibri" w:hAnsi="Calibri" w:cs="Calibri"/>
          <w:color w:val="1F3864" w:themeColor="accent1" w:themeShade="80"/>
        </w:rPr>
        <w:t>- colour coded labels</w:t>
      </w:r>
    </w:p>
    <w:p w14:paraId="5BD7048E" w14:textId="77777777" w:rsidR="00D51E08" w:rsidRPr="00BF51B7" w:rsidRDefault="00D51E08" w:rsidP="0072433D">
      <w:pPr>
        <w:spacing w:after="0"/>
        <w:rPr>
          <w:rFonts w:ascii="Calibri" w:hAnsi="Calibri" w:cs="Calibri"/>
          <w:color w:val="1F3864" w:themeColor="accent1" w:themeShade="80"/>
        </w:rPr>
      </w:pPr>
      <w:r w:rsidRPr="00BF51B7">
        <w:rPr>
          <w:rFonts w:ascii="Calibri" w:hAnsi="Calibri" w:cs="Calibri"/>
          <w:color w:val="1F3864" w:themeColor="accent1" w:themeShade="80"/>
        </w:rPr>
        <w:t>- easy to open containers</w:t>
      </w:r>
    </w:p>
    <w:p w14:paraId="62D69559" w14:textId="5592B998" w:rsidR="00D51E08" w:rsidRPr="00BF51B7" w:rsidRDefault="00D51E08" w:rsidP="0072433D">
      <w:pPr>
        <w:spacing w:after="0"/>
        <w:rPr>
          <w:rFonts w:ascii="Calibri" w:hAnsi="Calibri" w:cs="Calibri"/>
          <w:color w:val="1F3864" w:themeColor="accent1" w:themeShade="80"/>
        </w:rPr>
      </w:pPr>
      <w:r w:rsidRPr="00BF51B7">
        <w:rPr>
          <w:rFonts w:ascii="Calibri" w:hAnsi="Calibri" w:cs="Calibri"/>
          <w:color w:val="1F3864" w:themeColor="accent1" w:themeShade="80"/>
        </w:rPr>
        <w:t>- multi-compartment compliance aids.</w:t>
      </w:r>
    </w:p>
    <w:p w14:paraId="5D2C6866"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The resident needs to be assessed for eligibility by the community pharmacy in relation to the </w:t>
      </w:r>
    </w:p>
    <w:p w14:paraId="0BADEE92"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Equality Act 2010. </w:t>
      </w:r>
    </w:p>
    <w:p w14:paraId="2AA5FE87"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reminders such as a reminder charts or alarms</w:t>
      </w:r>
    </w:p>
    <w:p w14:paraId="3D225051"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help measuring liquids</w:t>
      </w:r>
    </w:p>
    <w:p w14:paraId="68701402"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devices to help with the administration of inhalers or eye drops</w:t>
      </w:r>
    </w:p>
    <w:p w14:paraId="2EBC6FBD" w14:textId="416C1508"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providing the person with suitable information about their medicine </w:t>
      </w:r>
      <w:r w:rsidR="0049002B" w:rsidRPr="00BF51B7">
        <w:rPr>
          <w:rFonts w:ascii="Calibri" w:hAnsi="Calibri" w:cs="Calibri"/>
          <w:color w:val="1F3864" w:themeColor="accent1" w:themeShade="80"/>
        </w:rPr>
        <w:t>e.g.</w:t>
      </w:r>
      <w:r w:rsidRPr="00BF51B7">
        <w:rPr>
          <w:rFonts w:ascii="Calibri" w:hAnsi="Calibri" w:cs="Calibri"/>
          <w:color w:val="1F3864" w:themeColor="accent1" w:themeShade="80"/>
        </w:rPr>
        <w:t xml:space="preserve"> how to take it and any </w:t>
      </w:r>
    </w:p>
    <w:p w14:paraId="0E17656D"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potential side effects.</w:t>
      </w:r>
    </w:p>
    <w:p w14:paraId="56BD28D6" w14:textId="77777777" w:rsidR="0049002B" w:rsidRPr="00BF51B7" w:rsidRDefault="0049002B" w:rsidP="00D51E08">
      <w:pPr>
        <w:spacing w:after="0"/>
        <w:rPr>
          <w:rFonts w:ascii="Calibri" w:hAnsi="Calibri" w:cs="Calibri"/>
          <w:color w:val="1F3864" w:themeColor="accent1" w:themeShade="80"/>
        </w:rPr>
      </w:pPr>
    </w:p>
    <w:p w14:paraId="329AD02E" w14:textId="77777777" w:rsidR="00D51E08" w:rsidRPr="00BF51B7" w:rsidRDefault="00D51E08" w:rsidP="00D51E08">
      <w:pPr>
        <w:spacing w:after="0"/>
        <w:rPr>
          <w:rFonts w:ascii="Calibri" w:hAnsi="Calibri" w:cs="Calibri"/>
          <w:color w:val="1F3864" w:themeColor="accent1" w:themeShade="80"/>
          <w:u w:val="single"/>
        </w:rPr>
      </w:pPr>
      <w:r w:rsidRPr="00BF51B7">
        <w:rPr>
          <w:rFonts w:ascii="Calibri" w:hAnsi="Calibri" w:cs="Calibri"/>
          <w:color w:val="1F3864" w:themeColor="accent1" w:themeShade="80"/>
          <w:u w:val="single"/>
        </w:rPr>
        <w:t>Medication Storage</w:t>
      </w:r>
    </w:p>
    <w:p w14:paraId="7831366C"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If the resident is self-administering it is essential to provide safe and secure medicine storage for </w:t>
      </w:r>
    </w:p>
    <w:p w14:paraId="1301B28A"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individuals in their own rooms such as a lockable cupboard or drawer in a resident’s room.</w:t>
      </w:r>
    </w:p>
    <w:p w14:paraId="432B21CA"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Care home providers should also consider the storage of: </w:t>
      </w:r>
    </w:p>
    <w:p w14:paraId="68BC0B10"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Controlled drugs. </w:t>
      </w:r>
    </w:p>
    <w:p w14:paraId="110145FF"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Nutritional supplements. </w:t>
      </w:r>
    </w:p>
    <w:p w14:paraId="78E711AA"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Medicines that need refrigeration</w:t>
      </w:r>
    </w:p>
    <w:p w14:paraId="539D9247"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 Dressings, stoma products and catheters. </w:t>
      </w:r>
    </w:p>
    <w:p w14:paraId="5F01A0CE"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Residents must be able to easily access their own medicines that need special storage </w:t>
      </w:r>
      <w:proofErr w:type="spellStart"/>
      <w:r w:rsidRPr="00BF51B7">
        <w:rPr>
          <w:rFonts w:ascii="Calibri" w:hAnsi="Calibri" w:cs="Calibri"/>
          <w:color w:val="1F3864" w:themeColor="accent1" w:themeShade="80"/>
        </w:rPr>
        <w:t>e.g</w:t>
      </w:r>
      <w:proofErr w:type="spellEnd"/>
      <w:r w:rsidRPr="00BF51B7">
        <w:rPr>
          <w:rFonts w:ascii="Calibri" w:hAnsi="Calibri" w:cs="Calibri"/>
          <w:color w:val="1F3864" w:themeColor="accent1" w:themeShade="80"/>
        </w:rPr>
        <w:t xml:space="preserve"> fridge </w:t>
      </w:r>
    </w:p>
    <w:p w14:paraId="5C82F812"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items when they need to take or use them.</w:t>
      </w:r>
    </w:p>
    <w:p w14:paraId="41934813" w14:textId="77777777" w:rsidR="0049002B" w:rsidRPr="00BF51B7" w:rsidRDefault="0049002B" w:rsidP="00D51E08">
      <w:pPr>
        <w:spacing w:after="0"/>
        <w:rPr>
          <w:rFonts w:ascii="Calibri" w:hAnsi="Calibri" w:cs="Calibri"/>
          <w:color w:val="1F3864" w:themeColor="accent1" w:themeShade="80"/>
        </w:rPr>
      </w:pPr>
    </w:p>
    <w:p w14:paraId="2773A055" w14:textId="77777777" w:rsidR="00D51E08" w:rsidRPr="00BF51B7" w:rsidRDefault="00D51E08" w:rsidP="00D51E08">
      <w:pPr>
        <w:spacing w:after="0"/>
        <w:rPr>
          <w:rFonts w:ascii="Calibri" w:hAnsi="Calibri" w:cs="Calibri"/>
          <w:color w:val="1F3864" w:themeColor="accent1" w:themeShade="80"/>
          <w:u w:val="single"/>
        </w:rPr>
      </w:pPr>
      <w:r w:rsidRPr="00BF51B7">
        <w:rPr>
          <w:rFonts w:ascii="Calibri" w:hAnsi="Calibri" w:cs="Calibri"/>
          <w:color w:val="1F3864" w:themeColor="accent1" w:themeShade="80"/>
          <w:u w:val="single"/>
        </w:rPr>
        <w:t xml:space="preserve">Medication Ordering </w:t>
      </w:r>
    </w:p>
    <w:p w14:paraId="19DAB5E5"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The resident’s care plan must reflect the resident’s wishes and the specific arrangements for </w:t>
      </w:r>
      <w:proofErr w:type="gramStart"/>
      <w:r w:rsidRPr="00BF51B7">
        <w:rPr>
          <w:rFonts w:ascii="Calibri" w:hAnsi="Calibri" w:cs="Calibri"/>
          <w:color w:val="1F3864" w:themeColor="accent1" w:themeShade="80"/>
        </w:rPr>
        <w:t>their</w:t>
      </w:r>
      <w:proofErr w:type="gramEnd"/>
      <w:r w:rsidRPr="00BF51B7">
        <w:rPr>
          <w:rFonts w:ascii="Calibri" w:hAnsi="Calibri" w:cs="Calibri"/>
          <w:color w:val="1F3864" w:themeColor="accent1" w:themeShade="80"/>
        </w:rPr>
        <w:t xml:space="preserve"> </w:t>
      </w:r>
    </w:p>
    <w:p w14:paraId="7680E3EF"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medication. Any medicines ordered by the home must be received as per the care home policy and </w:t>
      </w:r>
    </w:p>
    <w:p w14:paraId="49B54E8C"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a record made when they are handed over to the resident who self-administers their medication </w:t>
      </w:r>
    </w:p>
    <w:p w14:paraId="4B931B1D"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unless the resident wishes and is able to take responsibility for ordering and receiving </w:t>
      </w:r>
      <w:proofErr w:type="gramStart"/>
      <w:r w:rsidRPr="00BF51B7">
        <w:rPr>
          <w:rFonts w:ascii="Calibri" w:hAnsi="Calibri" w:cs="Calibri"/>
          <w:color w:val="1F3864" w:themeColor="accent1" w:themeShade="80"/>
        </w:rPr>
        <w:t>their</w:t>
      </w:r>
      <w:proofErr w:type="gramEnd"/>
      <w:r w:rsidRPr="00BF51B7">
        <w:rPr>
          <w:rFonts w:ascii="Calibri" w:hAnsi="Calibri" w:cs="Calibri"/>
          <w:color w:val="1F3864" w:themeColor="accent1" w:themeShade="80"/>
        </w:rPr>
        <w:t xml:space="preserve"> </w:t>
      </w:r>
    </w:p>
    <w:p w14:paraId="65840199"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medication.</w:t>
      </w:r>
    </w:p>
    <w:p w14:paraId="3217DF19" w14:textId="77777777" w:rsidR="0049002B" w:rsidRPr="00BF51B7" w:rsidRDefault="0049002B" w:rsidP="00D51E08">
      <w:pPr>
        <w:spacing w:after="0"/>
        <w:rPr>
          <w:rFonts w:ascii="Calibri" w:hAnsi="Calibri" w:cs="Calibri"/>
          <w:color w:val="1F3864" w:themeColor="accent1" w:themeShade="80"/>
        </w:rPr>
      </w:pPr>
    </w:p>
    <w:p w14:paraId="143E3129" w14:textId="77777777" w:rsidR="00D51E08" w:rsidRPr="00BF51B7" w:rsidRDefault="00D51E08" w:rsidP="00D51E08">
      <w:pPr>
        <w:spacing w:after="0"/>
        <w:rPr>
          <w:rFonts w:ascii="Calibri" w:hAnsi="Calibri" w:cs="Calibri"/>
          <w:color w:val="1F3864" w:themeColor="accent1" w:themeShade="80"/>
          <w:u w:val="single"/>
        </w:rPr>
      </w:pPr>
      <w:r w:rsidRPr="00BF51B7">
        <w:rPr>
          <w:rFonts w:ascii="Calibri" w:hAnsi="Calibri" w:cs="Calibri"/>
          <w:color w:val="1F3864" w:themeColor="accent1" w:themeShade="80"/>
          <w:u w:val="single"/>
        </w:rPr>
        <w:t>Record Keeping</w:t>
      </w:r>
    </w:p>
    <w:p w14:paraId="30F0BEEC"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There is no need for care staff to fill in the MAR chart when residents self-administer medicines, but </w:t>
      </w:r>
    </w:p>
    <w:p w14:paraId="1ED93316"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the chart should be used by the resident to indicate self-administration of medication and is a way of </w:t>
      </w:r>
    </w:p>
    <w:p w14:paraId="0D89942F"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monitoring medicines adherence. Care staff have a duty of care to look after residents; this includes </w:t>
      </w:r>
    </w:p>
    <w:p w14:paraId="72068399" w14:textId="77777777"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supporting residents who self-administer their medication to do so safely. </w:t>
      </w:r>
    </w:p>
    <w:p w14:paraId="499B8D3A" w14:textId="39A49B60" w:rsidR="00D51E08" w:rsidRPr="00BF51B7" w:rsidRDefault="00D51E08" w:rsidP="00D51E08">
      <w:pPr>
        <w:spacing w:after="0"/>
        <w:rPr>
          <w:rFonts w:ascii="Calibri" w:hAnsi="Calibri" w:cs="Calibri"/>
          <w:color w:val="1F3864" w:themeColor="accent1" w:themeShade="80"/>
        </w:rPr>
      </w:pPr>
      <w:r w:rsidRPr="00BF51B7">
        <w:rPr>
          <w:rFonts w:ascii="Calibri" w:hAnsi="Calibri" w:cs="Calibri"/>
          <w:color w:val="1F3864" w:themeColor="accent1" w:themeShade="80"/>
        </w:rPr>
        <w:t xml:space="preserve">If there are some medications from the list of prescribed medications that the resident wishes to </w:t>
      </w:r>
      <w:r w:rsidR="0049002B" w:rsidRPr="00BF51B7">
        <w:rPr>
          <w:rFonts w:ascii="Calibri" w:hAnsi="Calibri" w:cs="Calibri"/>
          <w:color w:val="1F3864" w:themeColor="accent1" w:themeShade="80"/>
        </w:rPr>
        <w:t>self-administer</w:t>
      </w:r>
      <w:r w:rsidRPr="00BF51B7">
        <w:rPr>
          <w:rFonts w:ascii="Calibri" w:hAnsi="Calibri" w:cs="Calibri"/>
          <w:color w:val="1F3864" w:themeColor="accent1" w:themeShade="80"/>
        </w:rPr>
        <w:t>, such as inhalers, this must be made clear on the MAR chart.</w:t>
      </w:r>
    </w:p>
    <w:p w14:paraId="605B3498" w14:textId="27D4A6CA" w:rsidR="008E30F0" w:rsidRPr="00A36A1A" w:rsidRDefault="008E30F0" w:rsidP="008E30F0">
      <w:pPr>
        <w:rPr>
          <w:b/>
          <w:bCs/>
          <w:u w:val="single"/>
        </w:rPr>
      </w:pPr>
    </w:p>
    <w:sectPr w:rsidR="008E30F0" w:rsidRPr="00A36A1A" w:rsidSect="00A86D68">
      <w:headerReference w:type="default" r:id="rId10"/>
      <w:footerReference w:type="default" r:id="rId11"/>
      <w:pgSz w:w="11906" w:h="16838"/>
      <w:pgMar w:top="1440" w:right="1440" w:bottom="1440" w:left="1440" w:header="708" w:footer="708" w:gutter="0"/>
      <w:pgBorders w:offsetFrom="page">
        <w:top w:val="single" w:sz="24" w:space="24" w:color="1F4E79" w:themeColor="accent5" w:themeShade="80"/>
        <w:left w:val="single" w:sz="24" w:space="24" w:color="1F4E79" w:themeColor="accent5" w:themeShade="80"/>
        <w:bottom w:val="single" w:sz="24" w:space="24" w:color="1F4E79" w:themeColor="accent5" w:themeShade="80"/>
        <w:right w:val="single" w:sz="24" w:space="24" w:color="1F4E79" w:themeColor="accent5"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718FC9" w14:textId="77777777" w:rsidR="008C518B" w:rsidRDefault="008C518B" w:rsidP="00313BEB">
      <w:pPr>
        <w:spacing w:after="0" w:line="240" w:lineRule="auto"/>
      </w:pPr>
      <w:r>
        <w:separator/>
      </w:r>
    </w:p>
  </w:endnote>
  <w:endnote w:type="continuationSeparator" w:id="0">
    <w:p w14:paraId="43CFBCB6" w14:textId="77777777" w:rsidR="008C518B" w:rsidRDefault="008C518B" w:rsidP="00313BEB">
      <w:pPr>
        <w:spacing w:after="0" w:line="240" w:lineRule="auto"/>
      </w:pPr>
      <w:r>
        <w:continuationSeparator/>
      </w:r>
    </w:p>
  </w:endnote>
  <w:endnote w:type="continuationNotice" w:id="1">
    <w:p w14:paraId="4EE0752E" w14:textId="77777777" w:rsidR="008C518B" w:rsidRDefault="008C51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164D7E" w14:textId="5922A436" w:rsidR="00457E14" w:rsidRDefault="00457E14">
    <w:pPr>
      <w:pStyle w:val="Footer"/>
    </w:pPr>
    <w:r>
      <w:rPr>
        <w:noProof/>
      </w:rPr>
      <mc:AlternateContent>
        <mc:Choice Requires="wpg">
          <w:drawing>
            <wp:anchor distT="0" distB="0" distL="114300" distR="114300" simplePos="0" relativeHeight="251659264" behindDoc="0" locked="0" layoutInCell="1" allowOverlap="1" wp14:anchorId="21028AA1" wp14:editId="1E9F5ACF">
              <wp:simplePos x="0" y="0"/>
              <wp:positionH relativeFrom="page">
                <wp:posOffset>704850</wp:posOffset>
              </wp:positionH>
              <wp:positionV relativeFrom="bottomMargin">
                <wp:posOffset>53340</wp:posOffset>
              </wp:positionV>
              <wp:extent cx="5943600" cy="407670"/>
              <wp:effectExtent l="0" t="0" r="0" b="0"/>
              <wp:wrapNone/>
              <wp:docPr id="155" name="Group 55"/>
              <wp:cNvGraphicFramePr/>
              <a:graphic xmlns:a="http://schemas.openxmlformats.org/drawingml/2006/main">
                <a:graphicData uri="http://schemas.microsoft.com/office/word/2010/wordprocessingGroup">
                  <wpg:wgp>
                    <wpg:cNvGrpSpPr/>
                    <wpg:grpSpPr>
                      <a:xfrm>
                        <a:off x="0" y="0"/>
                        <a:ext cx="5943600" cy="407670"/>
                        <a:chOff x="0" y="0"/>
                        <a:chExt cx="5943600" cy="407670"/>
                      </a:xfrm>
                    </wpg:grpSpPr>
                    <wps:wsp>
                      <wps:cNvPr id="156" name="Rectangle 156"/>
                      <wps:cNvSpPr/>
                      <wps:spPr>
                        <a:xfrm>
                          <a:off x="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 name="Text Box 157"/>
                      <wps:cNvSpPr txBox="1"/>
                      <wps:spPr>
                        <a:xfrm>
                          <a:off x="228600" y="0"/>
                          <a:ext cx="5353050" cy="4076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A1A262B" w14:textId="028DE46B" w:rsidR="00457E14" w:rsidRDefault="00000000">
                            <w:pPr>
                              <w:pStyle w:val="Footer"/>
                              <w:rPr>
                                <w:caps/>
                                <w:color w:val="808080" w:themeColor="background1" w:themeShade="80"/>
                                <w:sz w:val="20"/>
                                <w:szCs w:val="20"/>
                              </w:rPr>
                            </w:pPr>
                            <w:sdt>
                              <w:sdtPr>
                                <w:rPr>
                                  <w:color w:val="808080" w:themeColor="background1" w:themeShade="80"/>
                                  <w:sz w:val="20"/>
                                  <w:szCs w:val="20"/>
                                </w:rPr>
                                <w:alias w:val="Author"/>
                                <w:tag w:val=""/>
                                <w:id w:val="-959653791"/>
                                <w:dataBinding w:prefixMappings="xmlns:ns0='http://purl.org/dc/elements/1.1/' xmlns:ns1='http://schemas.openxmlformats.org/package/2006/metadata/core-properties' " w:xpath="/ns1:coreProperties[1]/ns0:creator[1]" w:storeItemID="{6C3C8BC8-F283-45AE-878A-BAB7291924A1}"/>
                                <w:text/>
                              </w:sdtPr>
                              <w:sdtContent>
                                <w:r w:rsidR="00457E14">
                                  <w:rPr>
                                    <w:color w:val="808080" w:themeColor="background1" w:themeShade="80"/>
                                    <w:sz w:val="20"/>
                                    <w:szCs w:val="20"/>
                                  </w:rPr>
                                  <w:t>Heather Evans (Powys Teaching Health Board – Pharmacy &amp; Medicines Management)</w:t>
                                </w:r>
                              </w:sdtContent>
                            </w:sdt>
                            <w:r w:rsidR="00457E14">
                              <w:rPr>
                                <w:caps/>
                                <w:color w:val="808080" w:themeColor="background1" w:themeShade="80"/>
                                <w:sz w:val="20"/>
                                <w:szCs w:val="20"/>
                              </w:rPr>
                              <w:t> | </w:t>
                            </w:r>
                            <w:sdt>
                              <w:sdtPr>
                                <w:rPr>
                                  <w:caps/>
                                  <w:color w:val="808080" w:themeColor="background1" w:themeShade="80"/>
                                  <w:sz w:val="20"/>
                                  <w:szCs w:val="20"/>
                                </w:rPr>
                                <w:alias w:val="School"/>
                                <w:tag w:val="School"/>
                                <w:id w:val="1660265181"/>
                                <w:dataBinding w:prefixMappings="xmlns:ns0='http://schemas.openxmlformats.org/officeDocument/2006/extended-properties' " w:xpath="/ns0:Properties[1]/ns0:Company[1]" w:storeItemID="{6668398D-A668-4E3E-A5EB-62B293D839F1}"/>
                                <w:text/>
                              </w:sdtPr>
                              <w:sdtContent>
                                <w:r w:rsidR="00457E14">
                                  <w:rPr>
                                    <w:caps/>
                                    <w:color w:val="808080" w:themeColor="background1" w:themeShade="80"/>
                                    <w:sz w:val="20"/>
                                    <w:szCs w:val="20"/>
                                  </w:rPr>
                                  <w:t>Bwrdd Iechyd Addysgu Powys Teaching Health Board</w:t>
                                </w:r>
                              </w:sdtContent>
                            </w:sdt>
                            <w:r w:rsidR="00D8573B">
                              <w:rPr>
                                <w:caps/>
                                <w:color w:val="808080" w:themeColor="background1" w:themeShade="80"/>
                                <w:sz w:val="20"/>
                                <w:szCs w:val="20"/>
                              </w:rPr>
                              <w:t xml:space="preserve"> 05.11.2024</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w:pict>
            <v:group w14:anchorId="21028AA1" id="Group 55" o:spid="_x0000_s1026" style="position:absolute;margin-left:55.5pt;margin-top:4.2pt;width:468pt;height:32.1pt;z-index:251659264;mso-position-horizontal-relative:page;mso-position-vertical-relative:bottom-margin-area" coordsize="59436,4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">
              <v:rect id="Rectangle 156" o:spid="_x0000_s1027" style="position:absolute;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" fillcolor="white [3212]" stroked="f" strokeweight="1pt">
                <v:fill opacity="0"/>
              </v:rect>
              <v:shapetype id="_x0000_t202" coordsize="21600,21600" o:spt="202" path="m,l,21600r21600,l21600,xe">
                <v:stroke joinstyle="miter"/>
                <v:path gradientshapeok="t" o:connecttype="rect"/>
              </v:shapetype>
              <v:shape id="Text Box 157" o:spid="_x0000_s1028" type="#_x0000_t202" style="position:absolute;left:2286;width:53530;height:4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" filled="f" stroked="f" strokeweight=".5pt">
                <v:textbox style="mso-fit-shape-to-text:t" inset="0,,0">
                  <w:txbxContent>
                    <w:p w14:paraId="7A1A262B" w14:textId="028DE46B" w:rsidR="00457E14" w:rsidRDefault="00000000">
                      <w:pPr>
                        <w:pStyle w:val="Footer"/>
                        <w:rPr>
                          <w:caps/>
                          <w:color w:val="808080" w:themeColor="background1" w:themeShade="80"/>
                          <w:sz w:val="20"/>
                          <w:szCs w:val="20"/>
                        </w:rPr>
                      </w:pPr>
                      <w:sdt>
                        <w:sdtPr>
                          <w:rPr>
                            <w:color w:val="808080" w:themeColor="background1" w:themeShade="80"/>
                            <w:sz w:val="20"/>
                            <w:szCs w:val="20"/>
                          </w:rPr>
                          <w:alias w:val="Author"/>
                          <w:tag w:val=""/>
                          <w:id w:val="-959653791"/>
                          <w:dataBinding w:prefixMappings="xmlns:ns0='http://purl.org/dc/elements/1.1/' xmlns:ns1='http://schemas.openxmlformats.org/package/2006/metadata/core-properties' " w:xpath="/ns1:coreProperties[1]/ns0:creator[1]" w:storeItemID="{6C3C8BC8-F283-45AE-878A-BAB7291924A1}"/>
                          <w:text/>
                        </w:sdtPr>
                        <w:sdtContent>
                          <w:r w:rsidR="00457E14">
                            <w:rPr>
                              <w:color w:val="808080" w:themeColor="background1" w:themeShade="80"/>
                              <w:sz w:val="20"/>
                              <w:szCs w:val="20"/>
                            </w:rPr>
                            <w:t>Heather Evans (Powys Teaching Health Board – Pharmacy &amp; Medicines Management)</w:t>
                          </w:r>
                        </w:sdtContent>
                      </w:sdt>
                      <w:r w:rsidR="00457E14">
                        <w:rPr>
                          <w:caps/>
                          <w:color w:val="808080" w:themeColor="background1" w:themeShade="80"/>
                          <w:sz w:val="20"/>
                          <w:szCs w:val="20"/>
                        </w:rPr>
                        <w:t> | </w:t>
                      </w:r>
                      <w:sdt>
                        <w:sdtPr>
                          <w:rPr>
                            <w:caps/>
                            <w:color w:val="808080" w:themeColor="background1" w:themeShade="80"/>
                            <w:sz w:val="20"/>
                            <w:szCs w:val="20"/>
                          </w:rPr>
                          <w:alias w:val="School"/>
                          <w:tag w:val="School"/>
                          <w:id w:val="1660265181"/>
                          <w:dataBinding w:prefixMappings="xmlns:ns0='http://schemas.openxmlformats.org/officeDocument/2006/extended-properties' " w:xpath="/ns0:Properties[1]/ns0:Company[1]" w:storeItemID="{6668398D-A668-4E3E-A5EB-62B293D839F1}"/>
                          <w:text/>
                        </w:sdtPr>
                        <w:sdtContent>
                          <w:r w:rsidR="00457E14">
                            <w:rPr>
                              <w:caps/>
                              <w:color w:val="808080" w:themeColor="background1" w:themeShade="80"/>
                              <w:sz w:val="20"/>
                              <w:szCs w:val="20"/>
                            </w:rPr>
                            <w:t>Bwrdd Iechyd Addysgu Powys Teaching Health Board</w:t>
                          </w:r>
                        </w:sdtContent>
                      </w:sdt>
                      <w:r w:rsidR="00D8573B">
                        <w:rPr>
                          <w:caps/>
                          <w:color w:val="808080" w:themeColor="background1" w:themeShade="80"/>
                          <w:sz w:val="20"/>
                          <w:szCs w:val="20"/>
                        </w:rPr>
                        <w:t xml:space="preserve"> 05.11.2024</w:t>
                      </w:r>
                    </w:p>
                  </w:txbxContent>
                </v:textbox>
              </v:shape>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8FFA38" w14:textId="77777777" w:rsidR="008C518B" w:rsidRDefault="008C518B" w:rsidP="00313BEB">
      <w:pPr>
        <w:spacing w:after="0" w:line="240" w:lineRule="auto"/>
      </w:pPr>
      <w:r>
        <w:separator/>
      </w:r>
    </w:p>
  </w:footnote>
  <w:footnote w:type="continuationSeparator" w:id="0">
    <w:p w14:paraId="300501A4" w14:textId="77777777" w:rsidR="008C518B" w:rsidRDefault="008C518B" w:rsidP="00313BEB">
      <w:pPr>
        <w:spacing w:after="0" w:line="240" w:lineRule="auto"/>
      </w:pPr>
      <w:r>
        <w:continuationSeparator/>
      </w:r>
    </w:p>
  </w:footnote>
  <w:footnote w:type="continuationNotice" w:id="1">
    <w:p w14:paraId="2A1E2197" w14:textId="77777777" w:rsidR="008C518B" w:rsidRDefault="008C518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2E132" w14:textId="1456E9F1" w:rsidR="00313BEB" w:rsidRDefault="00313BEB" w:rsidP="00313BEB">
    <w:pPr>
      <w:pStyle w:val="Header"/>
      <w:jc w:val="right"/>
    </w:pPr>
    <w:r>
      <w:rPr>
        <w:noProof/>
      </w:rPr>
      <w:drawing>
        <wp:inline distT="0" distB="0" distL="0" distR="0" wp14:anchorId="65598F33" wp14:editId="37D790C3">
          <wp:extent cx="2743200" cy="800100"/>
          <wp:effectExtent l="0" t="0" r="0" b="0"/>
          <wp:docPr id="4" name="Picture 4"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3200" cy="8001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B46C3"/>
    <w:multiLevelType w:val="hybridMultilevel"/>
    <w:tmpl w:val="DBA6E91C"/>
    <w:lvl w:ilvl="0" w:tplc="0809000B">
      <w:start w:val="1"/>
      <w:numFmt w:val="bullet"/>
      <w:lvlText w:val=""/>
      <w:lvlJc w:val="left"/>
      <w:pPr>
        <w:ind w:left="720" w:hanging="360"/>
      </w:pPr>
      <w:rPr>
        <w:rFonts w:ascii="Wingdings" w:hAnsi="Wingdings" w:hint="default"/>
      </w:rPr>
    </w:lvl>
    <w:lvl w:ilvl="1" w:tplc="68D4E5DA">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515490"/>
    <w:multiLevelType w:val="hybridMultilevel"/>
    <w:tmpl w:val="D26AAA2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04EC7"/>
    <w:multiLevelType w:val="hybridMultilevel"/>
    <w:tmpl w:val="D10EA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F2DC1"/>
    <w:multiLevelType w:val="hybridMultilevel"/>
    <w:tmpl w:val="7C041DB8"/>
    <w:lvl w:ilvl="0" w:tplc="9E5A69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3D7043"/>
    <w:multiLevelType w:val="hybridMultilevel"/>
    <w:tmpl w:val="FB465A62"/>
    <w:lvl w:ilvl="0" w:tplc="0809000B">
      <w:start w:val="1"/>
      <w:numFmt w:val="bullet"/>
      <w:lvlText w:val=""/>
      <w:lvlJc w:val="left"/>
      <w:pPr>
        <w:ind w:left="644" w:hanging="360"/>
      </w:pPr>
      <w:rPr>
        <w:rFonts w:ascii="Wingdings" w:hAnsi="Wingdings"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5" w15:restartNumberingAfterBreak="0">
    <w:nsid w:val="19AB7957"/>
    <w:multiLevelType w:val="hybridMultilevel"/>
    <w:tmpl w:val="E898D01C"/>
    <w:lvl w:ilvl="0" w:tplc="08090001">
      <w:start w:val="1"/>
      <w:numFmt w:val="bullet"/>
      <w:lvlText w:val=""/>
      <w:lvlJc w:val="left"/>
      <w:pPr>
        <w:ind w:left="720" w:hanging="360"/>
      </w:pPr>
      <w:rPr>
        <w:rFonts w:ascii="Symbol" w:hAnsi="Symbol" w:hint="default"/>
      </w:rPr>
    </w:lvl>
    <w:lvl w:ilvl="1" w:tplc="78605B2A">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7F4E8C"/>
    <w:multiLevelType w:val="hybridMultilevel"/>
    <w:tmpl w:val="57F23DE6"/>
    <w:lvl w:ilvl="0" w:tplc="FFFFFFFF">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E0F5015"/>
    <w:multiLevelType w:val="hybridMultilevel"/>
    <w:tmpl w:val="0B8E8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780078"/>
    <w:multiLevelType w:val="hybridMultilevel"/>
    <w:tmpl w:val="72664B3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1163C8"/>
    <w:multiLevelType w:val="hybridMultilevel"/>
    <w:tmpl w:val="7370EDA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1005CCC"/>
    <w:multiLevelType w:val="hybridMultilevel"/>
    <w:tmpl w:val="6DF60928"/>
    <w:lvl w:ilvl="0" w:tplc="9E5A69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8F36D4"/>
    <w:multiLevelType w:val="hybridMultilevel"/>
    <w:tmpl w:val="428EAC1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5B65EA"/>
    <w:multiLevelType w:val="hybridMultilevel"/>
    <w:tmpl w:val="3526545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3BE68E9"/>
    <w:multiLevelType w:val="hybridMultilevel"/>
    <w:tmpl w:val="04548990"/>
    <w:lvl w:ilvl="0" w:tplc="FFFFFFFF">
      <w:start w:val="1"/>
      <w:numFmt w:val="bullet"/>
      <w:lvlText w:val=""/>
      <w:lvlJc w:val="left"/>
      <w:pPr>
        <w:ind w:left="644" w:hanging="360"/>
      </w:pPr>
      <w:rPr>
        <w:rFonts w:ascii="Wingdings" w:hAnsi="Wingdings" w:hint="default"/>
      </w:rPr>
    </w:lvl>
    <w:lvl w:ilvl="1" w:tplc="0809000B">
      <w:start w:val="1"/>
      <w:numFmt w:val="bullet"/>
      <w:lvlText w:val=""/>
      <w:lvlJc w:val="left"/>
      <w:pPr>
        <w:ind w:left="1364" w:hanging="360"/>
      </w:pPr>
      <w:rPr>
        <w:rFonts w:ascii="Wingdings" w:hAnsi="Wingdings"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14" w15:restartNumberingAfterBreak="0">
    <w:nsid w:val="58323A25"/>
    <w:multiLevelType w:val="hybridMultilevel"/>
    <w:tmpl w:val="C7E894DA"/>
    <w:lvl w:ilvl="0" w:tplc="0809000B">
      <w:start w:val="1"/>
      <w:numFmt w:val="bullet"/>
      <w:lvlText w:val=""/>
      <w:lvlJc w:val="left"/>
      <w:pPr>
        <w:ind w:left="720" w:hanging="360"/>
      </w:pPr>
      <w:rPr>
        <w:rFonts w:ascii="Wingdings" w:hAnsi="Wingdings" w:hint="default"/>
      </w:rPr>
    </w:lvl>
    <w:lvl w:ilvl="1" w:tplc="068203E6">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E8117B"/>
    <w:multiLevelType w:val="hybridMultilevel"/>
    <w:tmpl w:val="BA364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1C17294"/>
    <w:multiLevelType w:val="hybridMultilevel"/>
    <w:tmpl w:val="BD58946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7183F12"/>
    <w:multiLevelType w:val="hybridMultilevel"/>
    <w:tmpl w:val="8864E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7F45B9"/>
    <w:multiLevelType w:val="hybridMultilevel"/>
    <w:tmpl w:val="33D86014"/>
    <w:lvl w:ilvl="0" w:tplc="9E5A69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703054"/>
    <w:multiLevelType w:val="hybridMultilevel"/>
    <w:tmpl w:val="7458C5C6"/>
    <w:lvl w:ilvl="0" w:tplc="9E5A69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286156"/>
    <w:multiLevelType w:val="hybridMultilevel"/>
    <w:tmpl w:val="CAD61394"/>
    <w:lvl w:ilvl="0" w:tplc="5F4E9E2E">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4074866">
    <w:abstractNumId w:val="7"/>
  </w:num>
  <w:num w:numId="2" w16cid:durableId="420688942">
    <w:abstractNumId w:val="5"/>
  </w:num>
  <w:num w:numId="3" w16cid:durableId="983852495">
    <w:abstractNumId w:val="1"/>
  </w:num>
  <w:num w:numId="4" w16cid:durableId="675154543">
    <w:abstractNumId w:val="0"/>
  </w:num>
  <w:num w:numId="5" w16cid:durableId="279337210">
    <w:abstractNumId w:val="6"/>
  </w:num>
  <w:num w:numId="6" w16cid:durableId="1946644499">
    <w:abstractNumId w:val="14"/>
  </w:num>
  <w:num w:numId="7" w16cid:durableId="739272">
    <w:abstractNumId w:val="4"/>
  </w:num>
  <w:num w:numId="8" w16cid:durableId="1971282496">
    <w:abstractNumId w:val="13"/>
  </w:num>
  <w:num w:numId="9" w16cid:durableId="1425766402">
    <w:abstractNumId w:val="12"/>
  </w:num>
  <w:num w:numId="10" w16cid:durableId="1649626685">
    <w:abstractNumId w:val="9"/>
  </w:num>
  <w:num w:numId="11" w16cid:durableId="1071270237">
    <w:abstractNumId w:val="8"/>
  </w:num>
  <w:num w:numId="12" w16cid:durableId="1602642809">
    <w:abstractNumId w:val="16"/>
  </w:num>
  <w:num w:numId="13" w16cid:durableId="1933775460">
    <w:abstractNumId w:val="10"/>
  </w:num>
  <w:num w:numId="14" w16cid:durableId="1101416518">
    <w:abstractNumId w:val="18"/>
  </w:num>
  <w:num w:numId="15" w16cid:durableId="1368676701">
    <w:abstractNumId w:val="3"/>
  </w:num>
  <w:num w:numId="16" w16cid:durableId="1201474355">
    <w:abstractNumId w:val="17"/>
  </w:num>
  <w:num w:numId="17" w16cid:durableId="3898526">
    <w:abstractNumId w:val="2"/>
  </w:num>
  <w:num w:numId="18" w16cid:durableId="30107116">
    <w:abstractNumId w:val="15"/>
  </w:num>
  <w:num w:numId="19" w16cid:durableId="730890123">
    <w:abstractNumId w:val="11"/>
  </w:num>
  <w:num w:numId="20" w16cid:durableId="2061317311">
    <w:abstractNumId w:val="20"/>
  </w:num>
  <w:num w:numId="21" w16cid:durableId="16258432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BEB"/>
    <w:rsid w:val="0000593D"/>
    <w:rsid w:val="00032F56"/>
    <w:rsid w:val="00042699"/>
    <w:rsid w:val="000579A7"/>
    <w:rsid w:val="00060308"/>
    <w:rsid w:val="00064361"/>
    <w:rsid w:val="00065DD5"/>
    <w:rsid w:val="00072795"/>
    <w:rsid w:val="000854EE"/>
    <w:rsid w:val="000867B6"/>
    <w:rsid w:val="000A07DC"/>
    <w:rsid w:val="000D4CA1"/>
    <w:rsid w:val="000E747B"/>
    <w:rsid w:val="00143948"/>
    <w:rsid w:val="00146621"/>
    <w:rsid w:val="00155F42"/>
    <w:rsid w:val="001564E3"/>
    <w:rsid w:val="0016100E"/>
    <w:rsid w:val="00161EF9"/>
    <w:rsid w:val="001638FA"/>
    <w:rsid w:val="00176340"/>
    <w:rsid w:val="0019465F"/>
    <w:rsid w:val="001A04FE"/>
    <w:rsid w:val="001B2D03"/>
    <w:rsid w:val="001E503B"/>
    <w:rsid w:val="001F0641"/>
    <w:rsid w:val="00205D75"/>
    <w:rsid w:val="00215A9B"/>
    <w:rsid w:val="00230191"/>
    <w:rsid w:val="00236363"/>
    <w:rsid w:val="00244A44"/>
    <w:rsid w:val="00250008"/>
    <w:rsid w:val="00251066"/>
    <w:rsid w:val="00260CE3"/>
    <w:rsid w:val="0026565E"/>
    <w:rsid w:val="0027752E"/>
    <w:rsid w:val="002845E9"/>
    <w:rsid w:val="002877BA"/>
    <w:rsid w:val="00292327"/>
    <w:rsid w:val="00292C3D"/>
    <w:rsid w:val="002A29C0"/>
    <w:rsid w:val="002A4120"/>
    <w:rsid w:val="002C14C0"/>
    <w:rsid w:val="002C25C3"/>
    <w:rsid w:val="002C368A"/>
    <w:rsid w:val="002F23F7"/>
    <w:rsid w:val="002F2670"/>
    <w:rsid w:val="002F5626"/>
    <w:rsid w:val="002F71CC"/>
    <w:rsid w:val="00313BEB"/>
    <w:rsid w:val="00325F49"/>
    <w:rsid w:val="00344987"/>
    <w:rsid w:val="00344F6F"/>
    <w:rsid w:val="003478C2"/>
    <w:rsid w:val="00364844"/>
    <w:rsid w:val="003711C7"/>
    <w:rsid w:val="003750CD"/>
    <w:rsid w:val="0038747D"/>
    <w:rsid w:val="00393961"/>
    <w:rsid w:val="00393B14"/>
    <w:rsid w:val="00394FB8"/>
    <w:rsid w:val="003A62DB"/>
    <w:rsid w:val="003A78B9"/>
    <w:rsid w:val="003B1369"/>
    <w:rsid w:val="003C289A"/>
    <w:rsid w:val="003C73AC"/>
    <w:rsid w:val="003E7B4F"/>
    <w:rsid w:val="003F2D76"/>
    <w:rsid w:val="003F4C24"/>
    <w:rsid w:val="00421FD9"/>
    <w:rsid w:val="00445CF5"/>
    <w:rsid w:val="00454542"/>
    <w:rsid w:val="0045617F"/>
    <w:rsid w:val="00456FFB"/>
    <w:rsid w:val="00457E14"/>
    <w:rsid w:val="00464A1E"/>
    <w:rsid w:val="0047085F"/>
    <w:rsid w:val="00472AF7"/>
    <w:rsid w:val="004860D1"/>
    <w:rsid w:val="0049002B"/>
    <w:rsid w:val="004902A6"/>
    <w:rsid w:val="00490E4B"/>
    <w:rsid w:val="004A6335"/>
    <w:rsid w:val="004B59E4"/>
    <w:rsid w:val="004C6A61"/>
    <w:rsid w:val="004D4AE0"/>
    <w:rsid w:val="004E46A3"/>
    <w:rsid w:val="004F10E3"/>
    <w:rsid w:val="004F303B"/>
    <w:rsid w:val="00501A06"/>
    <w:rsid w:val="00510E1B"/>
    <w:rsid w:val="0052580B"/>
    <w:rsid w:val="00532FE0"/>
    <w:rsid w:val="00541ACF"/>
    <w:rsid w:val="00543171"/>
    <w:rsid w:val="00543620"/>
    <w:rsid w:val="00554942"/>
    <w:rsid w:val="005678E0"/>
    <w:rsid w:val="0058704A"/>
    <w:rsid w:val="00593CDC"/>
    <w:rsid w:val="00593D58"/>
    <w:rsid w:val="00594CE5"/>
    <w:rsid w:val="00597E38"/>
    <w:rsid w:val="005A14E7"/>
    <w:rsid w:val="005B0F61"/>
    <w:rsid w:val="005B5E9C"/>
    <w:rsid w:val="005C0CA9"/>
    <w:rsid w:val="005C4527"/>
    <w:rsid w:val="005C7F64"/>
    <w:rsid w:val="005D4354"/>
    <w:rsid w:val="005D6D81"/>
    <w:rsid w:val="005E502D"/>
    <w:rsid w:val="005E5A60"/>
    <w:rsid w:val="005E7FDB"/>
    <w:rsid w:val="005F5FA3"/>
    <w:rsid w:val="005F7848"/>
    <w:rsid w:val="00606DB5"/>
    <w:rsid w:val="006071CE"/>
    <w:rsid w:val="006134E1"/>
    <w:rsid w:val="0061554E"/>
    <w:rsid w:val="00623FD2"/>
    <w:rsid w:val="00631D9D"/>
    <w:rsid w:val="00633E3B"/>
    <w:rsid w:val="00634BA4"/>
    <w:rsid w:val="00634C3A"/>
    <w:rsid w:val="00644B32"/>
    <w:rsid w:val="0065663F"/>
    <w:rsid w:val="00660EB0"/>
    <w:rsid w:val="0066551A"/>
    <w:rsid w:val="00675AFD"/>
    <w:rsid w:val="00684D7F"/>
    <w:rsid w:val="00691F4D"/>
    <w:rsid w:val="006A2B64"/>
    <w:rsid w:val="006A2DDF"/>
    <w:rsid w:val="006A3BB6"/>
    <w:rsid w:val="006A6C7B"/>
    <w:rsid w:val="006D1B4E"/>
    <w:rsid w:val="006D463D"/>
    <w:rsid w:val="006D6A45"/>
    <w:rsid w:val="006F7085"/>
    <w:rsid w:val="00703ED1"/>
    <w:rsid w:val="007069B4"/>
    <w:rsid w:val="0072433D"/>
    <w:rsid w:val="007375AB"/>
    <w:rsid w:val="00754628"/>
    <w:rsid w:val="0075650C"/>
    <w:rsid w:val="00782F6C"/>
    <w:rsid w:val="00787B9B"/>
    <w:rsid w:val="007907AB"/>
    <w:rsid w:val="00795EA8"/>
    <w:rsid w:val="007A1249"/>
    <w:rsid w:val="007A375D"/>
    <w:rsid w:val="007A6B92"/>
    <w:rsid w:val="007C191C"/>
    <w:rsid w:val="007D77AC"/>
    <w:rsid w:val="007E1CB2"/>
    <w:rsid w:val="007F5683"/>
    <w:rsid w:val="0081290A"/>
    <w:rsid w:val="00816749"/>
    <w:rsid w:val="00837029"/>
    <w:rsid w:val="00846668"/>
    <w:rsid w:val="00851686"/>
    <w:rsid w:val="008538D9"/>
    <w:rsid w:val="008650F4"/>
    <w:rsid w:val="0087035E"/>
    <w:rsid w:val="00873929"/>
    <w:rsid w:val="00881496"/>
    <w:rsid w:val="0088788C"/>
    <w:rsid w:val="00897C0F"/>
    <w:rsid w:val="008C1B70"/>
    <w:rsid w:val="008C518B"/>
    <w:rsid w:val="008E2CC2"/>
    <w:rsid w:val="008E30F0"/>
    <w:rsid w:val="008E3644"/>
    <w:rsid w:val="008F309C"/>
    <w:rsid w:val="00903E6B"/>
    <w:rsid w:val="00904871"/>
    <w:rsid w:val="00912CE3"/>
    <w:rsid w:val="00914937"/>
    <w:rsid w:val="00921E30"/>
    <w:rsid w:val="0093023A"/>
    <w:rsid w:val="00931561"/>
    <w:rsid w:val="00941B74"/>
    <w:rsid w:val="0095002B"/>
    <w:rsid w:val="00954210"/>
    <w:rsid w:val="00954A64"/>
    <w:rsid w:val="00957BD5"/>
    <w:rsid w:val="00961C71"/>
    <w:rsid w:val="009717BE"/>
    <w:rsid w:val="00982E7E"/>
    <w:rsid w:val="00994897"/>
    <w:rsid w:val="009B0D71"/>
    <w:rsid w:val="009B2E96"/>
    <w:rsid w:val="009B46DF"/>
    <w:rsid w:val="009D6CDF"/>
    <w:rsid w:val="009E05A9"/>
    <w:rsid w:val="009E0B93"/>
    <w:rsid w:val="009E7BA7"/>
    <w:rsid w:val="009F533F"/>
    <w:rsid w:val="00A02BD3"/>
    <w:rsid w:val="00A07549"/>
    <w:rsid w:val="00A10707"/>
    <w:rsid w:val="00A15243"/>
    <w:rsid w:val="00A25B7A"/>
    <w:rsid w:val="00A31BDF"/>
    <w:rsid w:val="00A36A1A"/>
    <w:rsid w:val="00A44D92"/>
    <w:rsid w:val="00A51461"/>
    <w:rsid w:val="00A5277C"/>
    <w:rsid w:val="00A5550C"/>
    <w:rsid w:val="00A6705F"/>
    <w:rsid w:val="00A73FC3"/>
    <w:rsid w:val="00A86D68"/>
    <w:rsid w:val="00A87B25"/>
    <w:rsid w:val="00AA2404"/>
    <w:rsid w:val="00AC1D39"/>
    <w:rsid w:val="00AC7D6D"/>
    <w:rsid w:val="00AD01A3"/>
    <w:rsid w:val="00AE4346"/>
    <w:rsid w:val="00AF53E2"/>
    <w:rsid w:val="00AF64AC"/>
    <w:rsid w:val="00AF745D"/>
    <w:rsid w:val="00B02B0C"/>
    <w:rsid w:val="00B04071"/>
    <w:rsid w:val="00B12741"/>
    <w:rsid w:val="00B24A97"/>
    <w:rsid w:val="00B301D8"/>
    <w:rsid w:val="00B406BE"/>
    <w:rsid w:val="00B547B7"/>
    <w:rsid w:val="00B56E69"/>
    <w:rsid w:val="00B57D3E"/>
    <w:rsid w:val="00B60E94"/>
    <w:rsid w:val="00B747D6"/>
    <w:rsid w:val="00B76073"/>
    <w:rsid w:val="00B77D85"/>
    <w:rsid w:val="00BA45BB"/>
    <w:rsid w:val="00BC2572"/>
    <w:rsid w:val="00BD7939"/>
    <w:rsid w:val="00BE56BB"/>
    <w:rsid w:val="00BE759B"/>
    <w:rsid w:val="00BF51B7"/>
    <w:rsid w:val="00C01B95"/>
    <w:rsid w:val="00C04A0A"/>
    <w:rsid w:val="00C1057D"/>
    <w:rsid w:val="00C12379"/>
    <w:rsid w:val="00C27308"/>
    <w:rsid w:val="00C31A8C"/>
    <w:rsid w:val="00C37262"/>
    <w:rsid w:val="00C45651"/>
    <w:rsid w:val="00C4566A"/>
    <w:rsid w:val="00C467FE"/>
    <w:rsid w:val="00C564E0"/>
    <w:rsid w:val="00C56A9E"/>
    <w:rsid w:val="00C56DC3"/>
    <w:rsid w:val="00C6753C"/>
    <w:rsid w:val="00C75C5D"/>
    <w:rsid w:val="00C80C52"/>
    <w:rsid w:val="00C84811"/>
    <w:rsid w:val="00C85D90"/>
    <w:rsid w:val="00C929E4"/>
    <w:rsid w:val="00C95D3C"/>
    <w:rsid w:val="00C974AC"/>
    <w:rsid w:val="00CB28F2"/>
    <w:rsid w:val="00CC674F"/>
    <w:rsid w:val="00CF0F28"/>
    <w:rsid w:val="00D00D7F"/>
    <w:rsid w:val="00D1341F"/>
    <w:rsid w:val="00D16949"/>
    <w:rsid w:val="00D250CB"/>
    <w:rsid w:val="00D43C4E"/>
    <w:rsid w:val="00D4459C"/>
    <w:rsid w:val="00D51E08"/>
    <w:rsid w:val="00D54AB9"/>
    <w:rsid w:val="00D60525"/>
    <w:rsid w:val="00D60AE0"/>
    <w:rsid w:val="00D61A09"/>
    <w:rsid w:val="00D8573B"/>
    <w:rsid w:val="00D91546"/>
    <w:rsid w:val="00D91838"/>
    <w:rsid w:val="00D91DB6"/>
    <w:rsid w:val="00D92E46"/>
    <w:rsid w:val="00D96FF2"/>
    <w:rsid w:val="00DA793F"/>
    <w:rsid w:val="00DB195F"/>
    <w:rsid w:val="00DD07A7"/>
    <w:rsid w:val="00DE763F"/>
    <w:rsid w:val="00DF35EA"/>
    <w:rsid w:val="00DF77E3"/>
    <w:rsid w:val="00E100F3"/>
    <w:rsid w:val="00E16CA8"/>
    <w:rsid w:val="00E20226"/>
    <w:rsid w:val="00E303BE"/>
    <w:rsid w:val="00E40A02"/>
    <w:rsid w:val="00E51271"/>
    <w:rsid w:val="00E52234"/>
    <w:rsid w:val="00E74AC1"/>
    <w:rsid w:val="00E90FFA"/>
    <w:rsid w:val="00E9127B"/>
    <w:rsid w:val="00E9496A"/>
    <w:rsid w:val="00EB5568"/>
    <w:rsid w:val="00EE0498"/>
    <w:rsid w:val="00EE4B15"/>
    <w:rsid w:val="00EF09B2"/>
    <w:rsid w:val="00EF3A43"/>
    <w:rsid w:val="00F034F0"/>
    <w:rsid w:val="00F363CE"/>
    <w:rsid w:val="00F45704"/>
    <w:rsid w:val="00F52F46"/>
    <w:rsid w:val="00F5437B"/>
    <w:rsid w:val="00F6153C"/>
    <w:rsid w:val="00F827AF"/>
    <w:rsid w:val="00F92F3B"/>
    <w:rsid w:val="00F97C79"/>
    <w:rsid w:val="00FA2E31"/>
    <w:rsid w:val="00FA482B"/>
    <w:rsid w:val="00FA78A9"/>
    <w:rsid w:val="00FB435F"/>
    <w:rsid w:val="00FB4C88"/>
    <w:rsid w:val="00FF2D4C"/>
    <w:rsid w:val="00FF43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E49850"/>
  <w15:chartTrackingRefBased/>
  <w15:docId w15:val="{DA0AD3BA-87C4-42E4-BC71-16C116331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2022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3BEB"/>
    <w:pPr>
      <w:ind w:left="720"/>
      <w:contextualSpacing/>
    </w:pPr>
  </w:style>
  <w:style w:type="paragraph" w:styleId="Header">
    <w:name w:val="header"/>
    <w:basedOn w:val="Normal"/>
    <w:link w:val="HeaderChar"/>
    <w:uiPriority w:val="99"/>
    <w:unhideWhenUsed/>
    <w:rsid w:val="00313B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BEB"/>
  </w:style>
  <w:style w:type="paragraph" w:styleId="Footer">
    <w:name w:val="footer"/>
    <w:basedOn w:val="Normal"/>
    <w:link w:val="FooterChar"/>
    <w:uiPriority w:val="99"/>
    <w:unhideWhenUsed/>
    <w:rsid w:val="00313B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BEB"/>
  </w:style>
  <w:style w:type="character" w:styleId="Hyperlink">
    <w:name w:val="Hyperlink"/>
    <w:basedOn w:val="DefaultParagraphFont"/>
    <w:uiPriority w:val="99"/>
    <w:unhideWhenUsed/>
    <w:rsid w:val="00C85D90"/>
    <w:rPr>
      <w:color w:val="0000FF"/>
      <w:u w:val="single"/>
    </w:rPr>
  </w:style>
  <w:style w:type="paragraph" w:styleId="NormalWeb">
    <w:name w:val="Normal (Web)"/>
    <w:basedOn w:val="Normal"/>
    <w:uiPriority w:val="99"/>
    <w:semiHidden/>
    <w:unhideWhenUsed/>
    <w:rsid w:val="00623FD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060308"/>
    <w:rPr>
      <w:color w:val="605E5C"/>
      <w:shd w:val="clear" w:color="auto" w:fill="E1DFDD"/>
    </w:rPr>
  </w:style>
  <w:style w:type="character" w:styleId="FollowedHyperlink">
    <w:name w:val="FollowedHyperlink"/>
    <w:basedOn w:val="DefaultParagraphFont"/>
    <w:uiPriority w:val="99"/>
    <w:semiHidden/>
    <w:unhideWhenUsed/>
    <w:rsid w:val="009E0B93"/>
    <w:rPr>
      <w:color w:val="954F72" w:themeColor="followedHyperlink"/>
      <w:u w:val="single"/>
    </w:rPr>
  </w:style>
  <w:style w:type="table" w:styleId="TableGrid">
    <w:name w:val="Table Grid"/>
    <w:basedOn w:val="TableNormal"/>
    <w:uiPriority w:val="39"/>
    <w:rsid w:val="000579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E20226"/>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E2022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20226"/>
    <w:rPr>
      <w:rFonts w:asciiTheme="majorHAnsi" w:eastAsiaTheme="majorEastAsia" w:hAnsiTheme="majorHAnsi" w:cstheme="majorBidi"/>
      <w:spacing w:val="-10"/>
      <w:kern w:val="28"/>
      <w:sz w:val="56"/>
      <w:szCs w:val="56"/>
    </w:rPr>
  </w:style>
  <w:style w:type="paragraph" w:styleId="NoSpacing">
    <w:name w:val="No Spacing"/>
    <w:uiPriority w:val="1"/>
    <w:qFormat/>
    <w:rsid w:val="00A36A1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1674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414e7a8-3859-4baa-9b8d-a01e638680ef" xsi:nil="true"/>
    <lcf76f155ced4ddcb4097134ff3c332f xmlns="a52a7c76-ceac-446d-ac85-cb82d00e3116">
      <Terms xmlns="http://schemas.microsoft.com/office/infopath/2007/PartnerControls"/>
    </lcf76f155ced4ddcb4097134ff3c332f>
    <Order0 xmlns="a52a7c76-ceac-446d-ac85-cb82d00e3116" xsi:nil="true"/>
    <Finalised_x003f_ xmlns="a52a7c76-ceac-446d-ac85-cb82d00e3116">false</Finalised_x003f_>
    <ResponsiblePerson xmlns="a52a7c76-ceac-446d-ac85-cb82d00e3116">
      <UserInfo>
        <DisplayName/>
        <AccountId xsi:nil="true"/>
        <AccountType/>
      </UserInfo>
    </ResponsiblePerson>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20" ma:contentTypeDescription="Create a new document." ma:contentTypeScope="" ma:versionID="ad3b0ba5862fe96e95c6177193a01d50">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148f812bdc9a7740e0db16433a080bc2"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82E6BC-43A8-4D8A-AF8A-4A5F68BC7F9A}">
  <ds:schemaRefs>
    <ds:schemaRef ds:uri="http://schemas.microsoft.com/office/2006/metadata/properties"/>
    <ds:schemaRef ds:uri="http://schemas.microsoft.com/office/infopath/2007/PartnerControls"/>
    <ds:schemaRef ds:uri="6414e7a8-3859-4baa-9b8d-a01e638680ef"/>
    <ds:schemaRef ds:uri="a52a7c76-ceac-446d-ac85-cb82d00e3116"/>
  </ds:schemaRefs>
</ds:datastoreItem>
</file>

<file path=customXml/itemProps2.xml><?xml version="1.0" encoding="utf-8"?>
<ds:datastoreItem xmlns:ds="http://schemas.openxmlformats.org/officeDocument/2006/customXml" ds:itemID="{E04E7D23-4798-48C8-AE03-88B4D307B5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2a7c76-ceac-446d-ac85-cb82d00e3116"/>
    <ds:schemaRef ds:uri="6414e7a8-3859-4baa-9b8d-a01e638680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05D74A-351C-452E-B49F-2CC4996A1C5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Pages>
  <Words>1135</Words>
  <Characters>6471</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Bwrdd Iechyd Addysgu Powys Teaching Health Board</Company>
  <LinksUpToDate>false</LinksUpToDate>
  <CharactersWithSpaces>7591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Heather Evans (Powys Teaching Health Board – Pharmacy &amp; Medicines Management)</dc:creator>
  <cp:keywords/>
  <dc:description/>
  <cp:lastModifiedBy>Heather Evans (PTHB - Medicines Management)</cp:lastModifiedBy>
  <cp:revision>5</cp:revision>
  <dcterms:created xsi:type="dcterms:W3CDTF">2024-11-05T09:25:00Z</dcterms:created>
  <dcterms:modified xsi:type="dcterms:W3CDTF">2025-01-31T14:55:00Z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y fmtid="{D5CDD505-2E9C-101B-9397-08002B2CF9AE}" pid="3" name="MediaServiceImageTags">
    <vt:lpwstr/>
  </property>
</Properties>
</file>