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62A0" w14:textId="5AE027C2" w:rsidR="00765D1F" w:rsidRDefault="00765D1F"/>
    <w:p w14:paraId="6462161D" w14:textId="21F7522B" w:rsidR="00C92231" w:rsidRDefault="00C92231"/>
    <w:p w14:paraId="28180A39" w14:textId="66082CDA" w:rsidR="00C92231" w:rsidRPr="00C92231" w:rsidRDefault="00C92231">
      <w:p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When a resident is unwell with any of the following:</w:t>
      </w:r>
    </w:p>
    <w:p w14:paraId="62AD9351" w14:textId="57A4ACC7" w:rsidR="00C92231" w:rsidRPr="00C92231" w:rsidRDefault="00C92231" w:rsidP="00C92231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Vomiting</w:t>
      </w:r>
    </w:p>
    <w:p w14:paraId="63853D2F" w14:textId="4B7D287E" w:rsidR="00C92231" w:rsidRPr="00C92231" w:rsidRDefault="00C92231" w:rsidP="00C92231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Diarrhoea</w:t>
      </w:r>
    </w:p>
    <w:p w14:paraId="1B87341B" w14:textId="379AE58B" w:rsidR="00C92231" w:rsidRPr="00C92231" w:rsidRDefault="00C92231" w:rsidP="00C92231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Fever, sweats</w:t>
      </w:r>
    </w:p>
    <w:p w14:paraId="4C64E7CD" w14:textId="65D338BD" w:rsidR="00C92231" w:rsidRPr="00C92231" w:rsidRDefault="00C92231" w:rsidP="00C92231">
      <w:pPr>
        <w:pStyle w:val="ListParagraph"/>
        <w:numPr>
          <w:ilvl w:val="0"/>
          <w:numId w:val="1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Shaking</w:t>
      </w:r>
    </w:p>
    <w:p w14:paraId="73349342" w14:textId="702CE4CF" w:rsidR="00C92231" w:rsidRPr="00C92231" w:rsidRDefault="00C92231" w:rsidP="00C92231">
      <w:p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 xml:space="preserve">Inform the GP immediately. Dehydration caused by the above can be a significant risk to residents who take certain medicines. The following medicines need to temporarily </w:t>
      </w:r>
      <w:r w:rsidR="009D5F71">
        <w:rPr>
          <w:b/>
          <w:bCs/>
          <w:color w:val="1F4E79" w:themeColor="accent5" w:themeShade="80"/>
          <w:sz w:val="28"/>
          <w:szCs w:val="28"/>
        </w:rPr>
        <w:t>be stopped</w:t>
      </w:r>
      <w:r w:rsidR="0014289D">
        <w:rPr>
          <w:b/>
          <w:bCs/>
          <w:color w:val="1F4E79" w:themeColor="accent5" w:themeShade="80"/>
          <w:sz w:val="28"/>
          <w:szCs w:val="28"/>
        </w:rPr>
        <w:t xml:space="preserve"> </w:t>
      </w:r>
      <w:r w:rsidRPr="00C92231">
        <w:rPr>
          <w:b/>
          <w:bCs/>
          <w:color w:val="1F4E79" w:themeColor="accent5" w:themeShade="80"/>
          <w:sz w:val="28"/>
          <w:szCs w:val="28"/>
        </w:rPr>
        <w:t>during an illness which causes dehydration:</w:t>
      </w:r>
    </w:p>
    <w:p w14:paraId="5A3200B5" w14:textId="77777777" w:rsidR="00C92231" w:rsidRPr="00C92231" w:rsidRDefault="00C92231" w:rsidP="00C92231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ACE Inhibitors</w:t>
      </w:r>
    </w:p>
    <w:p w14:paraId="7A969813" w14:textId="0700F80A" w:rsidR="00C92231" w:rsidRPr="00C92231" w:rsidRDefault="00C92231" w:rsidP="00C92231">
      <w:pPr>
        <w:pStyle w:val="ListParagraph"/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Ramipril, lisinopril, perindopril, enalapril</w:t>
      </w:r>
    </w:p>
    <w:p w14:paraId="02824C00" w14:textId="63EB708C" w:rsidR="00C92231" w:rsidRPr="00C92231" w:rsidRDefault="00C92231" w:rsidP="00C92231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Angiotensin Receptor Blockers (ARBs)</w:t>
      </w:r>
    </w:p>
    <w:p w14:paraId="2E86D999" w14:textId="49E58000" w:rsidR="00C92231" w:rsidRPr="00C92231" w:rsidRDefault="00C92231" w:rsidP="00C92231">
      <w:pPr>
        <w:pStyle w:val="ListParagraph"/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Losartan, valsartan, candesartan</w:t>
      </w:r>
    </w:p>
    <w:p w14:paraId="557F8757" w14:textId="046C4B75" w:rsidR="00C92231" w:rsidRPr="00C92231" w:rsidRDefault="00C92231" w:rsidP="00C92231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 xml:space="preserve">Diuretics </w:t>
      </w:r>
    </w:p>
    <w:p w14:paraId="4997779C" w14:textId="26DC7BDF" w:rsidR="00C92231" w:rsidRPr="00C92231" w:rsidRDefault="00C92231" w:rsidP="00C92231">
      <w:pPr>
        <w:pStyle w:val="ListParagraph"/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 xml:space="preserve">Furosemide, </w:t>
      </w:r>
      <w:r w:rsidR="009D5F71" w:rsidRPr="00C92231">
        <w:rPr>
          <w:b/>
          <w:bCs/>
          <w:color w:val="1F4E79" w:themeColor="accent5" w:themeShade="80"/>
          <w:sz w:val="28"/>
          <w:szCs w:val="28"/>
        </w:rPr>
        <w:t>hydrochlorothiazide</w:t>
      </w:r>
      <w:r w:rsidRPr="00C92231">
        <w:rPr>
          <w:b/>
          <w:bCs/>
          <w:color w:val="1F4E79" w:themeColor="accent5" w:themeShade="80"/>
          <w:sz w:val="28"/>
          <w:szCs w:val="28"/>
        </w:rPr>
        <w:t>, bumetanide, spironolactone</w:t>
      </w:r>
    </w:p>
    <w:p w14:paraId="6B8CE97F" w14:textId="589AFCBD" w:rsidR="00C92231" w:rsidRPr="00C92231" w:rsidRDefault="00C92231" w:rsidP="00C92231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Metformin</w:t>
      </w:r>
    </w:p>
    <w:p w14:paraId="4CDEBF3E" w14:textId="06A79B10" w:rsidR="00C92231" w:rsidRPr="00C92231" w:rsidRDefault="00C92231" w:rsidP="00C92231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NSAIDs</w:t>
      </w:r>
    </w:p>
    <w:p w14:paraId="66F47699" w14:textId="203FA80B" w:rsidR="00C92231" w:rsidRDefault="00C92231" w:rsidP="00C92231">
      <w:pPr>
        <w:pStyle w:val="ListParagraph"/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Ibuprofen, diclofenac, naproxen</w:t>
      </w:r>
    </w:p>
    <w:p w14:paraId="20CD0863" w14:textId="129D1E99" w:rsidR="00B13B65" w:rsidRDefault="00B13B65" w:rsidP="00B13B65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8"/>
          <w:szCs w:val="28"/>
        </w:rPr>
      </w:pPr>
      <w:r>
        <w:rPr>
          <w:b/>
          <w:bCs/>
          <w:color w:val="1F4E79" w:themeColor="accent5" w:themeShade="80"/>
          <w:sz w:val="28"/>
          <w:szCs w:val="28"/>
        </w:rPr>
        <w:t>Digoxin</w:t>
      </w:r>
    </w:p>
    <w:p w14:paraId="30AB8915" w14:textId="1FD71F90" w:rsidR="00B13B65" w:rsidRPr="00B13B65" w:rsidRDefault="00B13B65" w:rsidP="00B13B65">
      <w:pPr>
        <w:pStyle w:val="ListParagraph"/>
        <w:numPr>
          <w:ilvl w:val="0"/>
          <w:numId w:val="2"/>
        </w:numPr>
        <w:rPr>
          <w:b/>
          <w:bCs/>
          <w:color w:val="1F4E79" w:themeColor="accent5" w:themeShade="80"/>
          <w:sz w:val="28"/>
          <w:szCs w:val="28"/>
        </w:rPr>
      </w:pPr>
      <w:r>
        <w:rPr>
          <w:b/>
          <w:bCs/>
          <w:color w:val="1F4E79" w:themeColor="accent5" w:themeShade="80"/>
          <w:sz w:val="28"/>
          <w:szCs w:val="28"/>
        </w:rPr>
        <w:t>Lithium</w:t>
      </w:r>
    </w:p>
    <w:p w14:paraId="10F2C8BB" w14:textId="6B32C515" w:rsidR="00C92231" w:rsidRPr="00C92231" w:rsidRDefault="00C92231" w:rsidP="00C92231">
      <w:pPr>
        <w:rPr>
          <w:b/>
          <w:bCs/>
          <w:color w:val="1F4E79" w:themeColor="accent5" w:themeShade="80"/>
          <w:sz w:val="28"/>
          <w:szCs w:val="28"/>
        </w:rPr>
      </w:pPr>
    </w:p>
    <w:p w14:paraId="15BFAF91" w14:textId="25E37769" w:rsidR="00C92231" w:rsidRPr="00C92231" w:rsidRDefault="00C92231" w:rsidP="00C92231">
      <w:p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ACE inhibitors, ARBs and NSAIDs can impair the function of the kidneys. Dehydration can exacerbate this and result in an Acute Kidney Injury (AKI).</w:t>
      </w:r>
    </w:p>
    <w:p w14:paraId="2268B3FD" w14:textId="3361F330" w:rsidR="00C92231" w:rsidRPr="00C92231" w:rsidRDefault="00C92231" w:rsidP="00C92231">
      <w:p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>Diuretics can cause or exacerbate dehydration in unwell residents.</w:t>
      </w:r>
    </w:p>
    <w:p w14:paraId="4FBB532D" w14:textId="75653DE0" w:rsidR="00C92231" w:rsidRPr="00C92231" w:rsidRDefault="00C92231" w:rsidP="00C92231">
      <w:p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 xml:space="preserve">Dehydrated residents who take metformin are at risk of lactic acidosis which is very serious and potentially life-threatening. </w:t>
      </w:r>
    </w:p>
    <w:p w14:paraId="4803A260" w14:textId="72B258AD" w:rsidR="00C92231" w:rsidRPr="00C92231" w:rsidRDefault="00C92231" w:rsidP="00C92231">
      <w:pPr>
        <w:rPr>
          <w:b/>
          <w:bCs/>
          <w:color w:val="1F4E79" w:themeColor="accent5" w:themeShade="80"/>
          <w:sz w:val="28"/>
          <w:szCs w:val="28"/>
        </w:rPr>
      </w:pPr>
      <w:r w:rsidRPr="00C92231">
        <w:rPr>
          <w:b/>
          <w:bCs/>
          <w:color w:val="1F4E79" w:themeColor="accent5" w:themeShade="80"/>
          <w:sz w:val="28"/>
          <w:szCs w:val="28"/>
        </w:rPr>
        <w:t xml:space="preserve">Always contact the GP before </w:t>
      </w:r>
      <w:proofErr w:type="gramStart"/>
      <w:r w:rsidRPr="00C92231">
        <w:rPr>
          <w:b/>
          <w:bCs/>
          <w:color w:val="1F4E79" w:themeColor="accent5" w:themeShade="80"/>
          <w:sz w:val="28"/>
          <w:szCs w:val="28"/>
        </w:rPr>
        <w:t>taking action</w:t>
      </w:r>
      <w:proofErr w:type="gramEnd"/>
      <w:r w:rsidRPr="00C92231">
        <w:rPr>
          <w:b/>
          <w:bCs/>
          <w:color w:val="1F4E79" w:themeColor="accent5" w:themeShade="80"/>
          <w:sz w:val="28"/>
          <w:szCs w:val="28"/>
        </w:rPr>
        <w:t xml:space="preserve"> but be aware of residents who are taking these medications and act quickly when necessary. </w:t>
      </w:r>
    </w:p>
    <w:p w14:paraId="3B54EA96" w14:textId="38B99E34" w:rsidR="00C92231" w:rsidRPr="00C92231" w:rsidRDefault="00B13B65" w:rsidP="00C92231">
      <w:pPr>
        <w:rPr>
          <w:b/>
          <w:bCs/>
          <w:color w:val="1F4E79" w:themeColor="accent5" w:themeShade="80"/>
          <w:sz w:val="28"/>
          <w:szCs w:val="28"/>
        </w:rPr>
      </w:pPr>
      <w:r>
        <w:rPr>
          <w:b/>
          <w:bCs/>
          <w:color w:val="1F4E79" w:themeColor="accent5" w:themeShade="80"/>
          <w:sz w:val="28"/>
          <w:szCs w:val="28"/>
        </w:rPr>
        <w:t xml:space="preserve">Digoxin and lithium </w:t>
      </w:r>
      <w:r w:rsidR="00D12AA8">
        <w:rPr>
          <w:b/>
          <w:bCs/>
          <w:color w:val="1F4E79" w:themeColor="accent5" w:themeShade="80"/>
          <w:sz w:val="28"/>
          <w:szCs w:val="28"/>
        </w:rPr>
        <w:t xml:space="preserve">can be toxic in dehydrated residents. </w:t>
      </w:r>
    </w:p>
    <w:sectPr w:rsidR="00C92231" w:rsidRPr="00C92231" w:rsidSect="00C9223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24" w:space="24" w:color="2E74B5" w:themeColor="accent5" w:themeShade="BF"/>
        <w:left w:val="single" w:sz="24" w:space="24" w:color="2E74B5" w:themeColor="accent5" w:themeShade="BF"/>
        <w:bottom w:val="single" w:sz="24" w:space="24" w:color="2E74B5" w:themeColor="accent5" w:themeShade="BF"/>
        <w:right w:val="single" w:sz="24" w:space="24" w:color="2E74B5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4A4AF" w14:textId="77777777" w:rsidR="00026DF5" w:rsidRDefault="00026DF5" w:rsidP="00C92231">
      <w:pPr>
        <w:spacing w:after="0" w:line="240" w:lineRule="auto"/>
      </w:pPr>
      <w:r>
        <w:separator/>
      </w:r>
    </w:p>
  </w:endnote>
  <w:endnote w:type="continuationSeparator" w:id="0">
    <w:p w14:paraId="7E84412C" w14:textId="77777777" w:rsidR="00026DF5" w:rsidRDefault="00026DF5" w:rsidP="00C92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8B5B7" w14:textId="0D478753" w:rsidR="00C92231" w:rsidRDefault="00C92231">
    <w:pPr>
      <w:pStyle w:val="Footer"/>
    </w:pPr>
    <w:r>
      <w:t>Sick Day Rules</w:t>
    </w:r>
    <w:r>
      <w:tab/>
    </w:r>
    <w:r>
      <w:tab/>
    </w:r>
    <w:r w:rsidR="009D5F71">
      <w:t>Heather Evans 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C64DD" w14:textId="77777777" w:rsidR="00026DF5" w:rsidRDefault="00026DF5" w:rsidP="00C92231">
      <w:pPr>
        <w:spacing w:after="0" w:line="240" w:lineRule="auto"/>
      </w:pPr>
      <w:r>
        <w:separator/>
      </w:r>
    </w:p>
  </w:footnote>
  <w:footnote w:type="continuationSeparator" w:id="0">
    <w:p w14:paraId="5642EE94" w14:textId="77777777" w:rsidR="00026DF5" w:rsidRDefault="00026DF5" w:rsidP="00C92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26B4" w14:textId="1DA037AC" w:rsidR="00C92231" w:rsidRDefault="00C92231">
    <w:pPr>
      <w:pStyle w:val="Header"/>
    </w:pPr>
    <w:r w:rsidRPr="00C92231">
      <w:rPr>
        <w:noProof/>
        <w:color w:val="1F4E79" w:themeColor="accent5" w:themeShade="80"/>
        <w:sz w:val="48"/>
        <w:szCs w:val="48"/>
      </w:rPr>
      <w:drawing>
        <wp:anchor distT="0" distB="0" distL="114300" distR="114300" simplePos="0" relativeHeight="251659264" behindDoc="1" locked="0" layoutInCell="1" allowOverlap="1" wp14:anchorId="43E7A4B3" wp14:editId="7244F7B7">
          <wp:simplePos x="0" y="0"/>
          <wp:positionH relativeFrom="column">
            <wp:posOffset>3552825</wp:posOffset>
          </wp:positionH>
          <wp:positionV relativeFrom="paragraph">
            <wp:posOffset>-48260</wp:posOffset>
          </wp:positionV>
          <wp:extent cx="2743200" cy="803275"/>
          <wp:effectExtent l="0" t="0" r="0" b="0"/>
          <wp:wrapTight wrapText="bothSides">
            <wp:wrapPolygon edited="0">
              <wp:start x="0" y="0"/>
              <wp:lineTo x="0" y="21002"/>
              <wp:lineTo x="21450" y="21002"/>
              <wp:lineTo x="21450" y="0"/>
              <wp:lineTo x="0" y="0"/>
            </wp:wrapPolygon>
          </wp:wrapTight>
          <wp:docPr id="1" name="Picture 1" descr="Graphical user interface, applica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92231">
      <w:rPr>
        <w:color w:val="1F4E79" w:themeColor="accent5" w:themeShade="80"/>
        <w:sz w:val="48"/>
        <w:szCs w:val="48"/>
      </w:rPr>
      <w:t>Sick</w:t>
    </w:r>
    <w:r w:rsidRPr="00C92231">
      <w:rPr>
        <w:color w:val="1F4E79" w:themeColor="accent5" w:themeShade="80"/>
      </w:rPr>
      <w:t xml:space="preserve"> </w:t>
    </w:r>
    <w:r w:rsidRPr="00C92231">
      <w:rPr>
        <w:color w:val="1F4E79" w:themeColor="accent5" w:themeShade="80"/>
        <w:sz w:val="44"/>
        <w:szCs w:val="44"/>
      </w:rPr>
      <w:t>Day Rules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30285"/>
    <w:multiLevelType w:val="hybridMultilevel"/>
    <w:tmpl w:val="04545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64DD1"/>
    <w:multiLevelType w:val="hybridMultilevel"/>
    <w:tmpl w:val="42A89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030053">
    <w:abstractNumId w:val="1"/>
  </w:num>
  <w:num w:numId="2" w16cid:durableId="154409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231"/>
    <w:rsid w:val="00026DF5"/>
    <w:rsid w:val="0014289D"/>
    <w:rsid w:val="00222BA9"/>
    <w:rsid w:val="00765D1F"/>
    <w:rsid w:val="009D5F71"/>
    <w:rsid w:val="00B13B65"/>
    <w:rsid w:val="00B27221"/>
    <w:rsid w:val="00C92231"/>
    <w:rsid w:val="00D12AA8"/>
    <w:rsid w:val="00D3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99194"/>
  <w15:chartTrackingRefBased/>
  <w15:docId w15:val="{A7CF61F5-75F8-47E8-8C60-A2A13B3D4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2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31"/>
  </w:style>
  <w:style w:type="paragraph" w:styleId="Footer">
    <w:name w:val="footer"/>
    <w:basedOn w:val="Normal"/>
    <w:link w:val="FooterChar"/>
    <w:uiPriority w:val="99"/>
    <w:unhideWhenUsed/>
    <w:rsid w:val="00C922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31"/>
  </w:style>
  <w:style w:type="paragraph" w:styleId="ListParagraph">
    <w:name w:val="List Paragraph"/>
    <w:basedOn w:val="Normal"/>
    <w:uiPriority w:val="34"/>
    <w:qFormat/>
    <w:rsid w:val="00C92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0" ma:contentTypeDescription="Create a new document." ma:contentTypeScope="" ma:versionID="ad3b0ba5862fe96e95c6177193a01d50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148f812bdc9a7740e0db16433a080bc2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1AF7F-25B4-49B3-84EB-FE8BA52BA673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customXml/itemProps2.xml><?xml version="1.0" encoding="utf-8"?>
<ds:datastoreItem xmlns:ds="http://schemas.openxmlformats.org/officeDocument/2006/customXml" ds:itemID="{8B389DDE-A85D-469E-9367-2581A0F06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D4EC1-27AC-4009-8A58-6B9EB83D22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958</Characters>
  <Application>Microsoft Office Word</Application>
  <DocSecurity>0</DocSecurity>
  <Lines>7</Lines>
  <Paragraphs>2</Paragraphs>
  <ScaleCrop>false</ScaleCrop>
  <Company>Bwrdd Iechyd Addysgu Powys Teaching Health Board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Kelsall (PTHB – Pharmacy &amp; Medicines Management)</dc:creator>
  <cp:keywords/>
  <dc:description/>
  <cp:lastModifiedBy>Heather Evans (PTHB - Medicines Management)</cp:lastModifiedBy>
  <cp:revision>6</cp:revision>
  <dcterms:created xsi:type="dcterms:W3CDTF">2023-04-11T09:38:00Z</dcterms:created>
  <dcterms:modified xsi:type="dcterms:W3CDTF">2025-02-26T14:50:00Z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