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66C62A0" w14:textId="5AE027C2" w:rsidR="00765D1F" w:rsidRDefault="00765D1F"/>
    <w:p w14:paraId="6462161D" w14:textId="21F7522B" w:rsidR="00C92231" w:rsidRDefault="00C92231"/>
    <w:p w14:paraId="28180A39" w14:textId="66082CDA" w:rsidR="00C92231" w:rsidRPr="00C92231" w:rsidRDefault="00C92231">
      <w:pPr>
        <w:rPr>
          <w:b/>
          <w:bCs/>
          <w:color w:val="1F4E79" w:themeColor="accent5" w:themeShade="80"/>
          <w:sz w:val="28"/>
          <w:szCs w:val="28"/>
        </w:rPr>
      </w:pPr>
      <w:r w:rsidRPr="00C92231">
        <w:rPr>
          <w:b/>
          <w:bCs/>
          <w:color w:val="1F4E79" w:themeColor="accent5" w:themeShade="80"/>
          <w:sz w:val="28"/>
          <w:szCs w:val="28"/>
        </w:rPr>
        <w:t>When a resident is unwell with any of the following:</w:t>
      </w:r>
    </w:p>
    <w:p w14:paraId="62AD9351" w14:textId="57A4ACC7" w:rsidR="00C92231" w:rsidRPr="00C92231" w:rsidRDefault="00C92231" w:rsidP="00C92231">
      <w:pPr>
        <w:pStyle w:val="ListParagraph"/>
        <w:numPr>
          <w:ilvl w:val="0"/>
          <w:numId w:val="1"/>
        </w:numPr>
        <w:rPr>
          <w:b/>
          <w:bCs/>
          <w:color w:val="1F4E79" w:themeColor="accent5" w:themeShade="80"/>
          <w:sz w:val="28"/>
          <w:szCs w:val="28"/>
        </w:rPr>
      </w:pPr>
      <w:r w:rsidRPr="00C92231">
        <w:rPr>
          <w:b/>
          <w:bCs/>
          <w:color w:val="1F4E79" w:themeColor="accent5" w:themeShade="80"/>
          <w:sz w:val="28"/>
          <w:szCs w:val="28"/>
        </w:rPr>
        <w:t>Vomiting</w:t>
      </w:r>
    </w:p>
    <w:p w14:paraId="63853D2F" w14:textId="4B7D287E" w:rsidR="00C92231" w:rsidRPr="00C92231" w:rsidRDefault="00C92231" w:rsidP="00C92231">
      <w:pPr>
        <w:pStyle w:val="ListParagraph"/>
        <w:numPr>
          <w:ilvl w:val="0"/>
          <w:numId w:val="1"/>
        </w:numPr>
        <w:rPr>
          <w:b/>
          <w:bCs/>
          <w:color w:val="1F4E79" w:themeColor="accent5" w:themeShade="80"/>
          <w:sz w:val="28"/>
          <w:szCs w:val="28"/>
        </w:rPr>
      </w:pPr>
      <w:r w:rsidRPr="00C92231">
        <w:rPr>
          <w:b/>
          <w:bCs/>
          <w:color w:val="1F4E79" w:themeColor="accent5" w:themeShade="80"/>
          <w:sz w:val="28"/>
          <w:szCs w:val="28"/>
        </w:rPr>
        <w:t>Diarrhoea</w:t>
      </w:r>
    </w:p>
    <w:p w14:paraId="1B87341B" w14:textId="379AE58B" w:rsidR="00C92231" w:rsidRPr="00C92231" w:rsidRDefault="00C92231" w:rsidP="00C92231">
      <w:pPr>
        <w:pStyle w:val="ListParagraph"/>
        <w:numPr>
          <w:ilvl w:val="0"/>
          <w:numId w:val="1"/>
        </w:numPr>
        <w:rPr>
          <w:b/>
          <w:bCs/>
          <w:color w:val="1F4E79" w:themeColor="accent5" w:themeShade="80"/>
          <w:sz w:val="28"/>
          <w:szCs w:val="28"/>
        </w:rPr>
      </w:pPr>
      <w:r w:rsidRPr="00C92231">
        <w:rPr>
          <w:b/>
          <w:bCs/>
          <w:color w:val="1F4E79" w:themeColor="accent5" w:themeShade="80"/>
          <w:sz w:val="28"/>
          <w:szCs w:val="28"/>
        </w:rPr>
        <w:t>Fever, sweats</w:t>
      </w:r>
    </w:p>
    <w:p w14:paraId="4C64E7CD" w14:textId="65D338BD" w:rsidR="00C92231" w:rsidRPr="00C92231" w:rsidRDefault="00C92231" w:rsidP="00C92231">
      <w:pPr>
        <w:pStyle w:val="ListParagraph"/>
        <w:numPr>
          <w:ilvl w:val="0"/>
          <w:numId w:val="1"/>
        </w:numPr>
        <w:rPr>
          <w:b/>
          <w:bCs/>
          <w:color w:val="1F4E79" w:themeColor="accent5" w:themeShade="80"/>
          <w:sz w:val="28"/>
          <w:szCs w:val="28"/>
        </w:rPr>
      </w:pPr>
      <w:r w:rsidRPr="00C92231">
        <w:rPr>
          <w:b/>
          <w:bCs/>
          <w:color w:val="1F4E79" w:themeColor="accent5" w:themeShade="80"/>
          <w:sz w:val="28"/>
          <w:szCs w:val="28"/>
        </w:rPr>
        <w:t>Shaking</w:t>
      </w:r>
    </w:p>
    <w:p w14:paraId="73349342" w14:textId="702CE4CF" w:rsidR="00C92231" w:rsidRPr="00C92231" w:rsidRDefault="00C92231" w:rsidP="00C92231">
      <w:pPr>
        <w:rPr>
          <w:b/>
          <w:bCs/>
          <w:color w:val="1F4E79" w:themeColor="accent5" w:themeShade="80"/>
          <w:sz w:val="28"/>
          <w:szCs w:val="28"/>
        </w:rPr>
      </w:pPr>
      <w:r w:rsidRPr="00C92231">
        <w:rPr>
          <w:b/>
          <w:bCs/>
          <w:color w:val="1F4E79" w:themeColor="accent5" w:themeShade="80"/>
          <w:sz w:val="28"/>
          <w:szCs w:val="28"/>
        </w:rPr>
        <w:t xml:space="preserve">Inform the GP immediately. Dehydration caused by the above can be a significant risk to residents who take certain medicines. The following medicines need to temporarily </w:t>
      </w:r>
      <w:r w:rsidR="009D5F71">
        <w:rPr>
          <w:b/>
          <w:bCs/>
          <w:color w:val="1F4E79" w:themeColor="accent5" w:themeShade="80"/>
          <w:sz w:val="28"/>
          <w:szCs w:val="28"/>
        </w:rPr>
        <w:t>be stopped</w:t>
      </w:r>
      <w:r w:rsidR="0014289D">
        <w:rPr>
          <w:b/>
          <w:bCs/>
          <w:color w:val="1F4E79" w:themeColor="accent5" w:themeShade="80"/>
          <w:sz w:val="28"/>
          <w:szCs w:val="28"/>
        </w:rPr>
        <w:t xml:space="preserve"> </w:t>
      </w:r>
      <w:r w:rsidRPr="00C92231">
        <w:rPr>
          <w:b/>
          <w:bCs/>
          <w:color w:val="1F4E79" w:themeColor="accent5" w:themeShade="80"/>
          <w:sz w:val="28"/>
          <w:szCs w:val="28"/>
        </w:rPr>
        <w:t>during an illness which causes dehydration:</w:t>
      </w:r>
    </w:p>
    <w:p w14:paraId="5A3200B5" w14:textId="77777777" w:rsidR="00C92231" w:rsidRPr="00C92231" w:rsidRDefault="00C92231" w:rsidP="00C92231">
      <w:pPr>
        <w:pStyle w:val="ListParagraph"/>
        <w:numPr>
          <w:ilvl w:val="0"/>
          <w:numId w:val="2"/>
        </w:numPr>
        <w:rPr>
          <w:b/>
          <w:bCs/>
          <w:color w:val="1F4E79" w:themeColor="accent5" w:themeShade="80"/>
          <w:sz w:val="28"/>
          <w:szCs w:val="28"/>
        </w:rPr>
      </w:pPr>
      <w:r w:rsidRPr="00C92231">
        <w:rPr>
          <w:b/>
          <w:bCs/>
          <w:color w:val="1F4E79" w:themeColor="accent5" w:themeShade="80"/>
          <w:sz w:val="28"/>
          <w:szCs w:val="28"/>
        </w:rPr>
        <w:t>ACE Inhibitors</w:t>
      </w:r>
    </w:p>
    <w:p w14:paraId="7A969813" w14:textId="0700F80A" w:rsidR="00C92231" w:rsidRPr="00C92231" w:rsidRDefault="00C92231" w:rsidP="00C92231">
      <w:pPr>
        <w:pStyle w:val="ListParagraph"/>
        <w:rPr>
          <w:b/>
          <w:bCs/>
          <w:color w:val="1F4E79" w:themeColor="accent5" w:themeShade="80"/>
          <w:sz w:val="28"/>
          <w:szCs w:val="28"/>
        </w:rPr>
      </w:pPr>
      <w:r w:rsidRPr="00C92231">
        <w:rPr>
          <w:b/>
          <w:bCs/>
          <w:color w:val="1F4E79" w:themeColor="accent5" w:themeShade="80"/>
          <w:sz w:val="28"/>
          <w:szCs w:val="28"/>
        </w:rPr>
        <w:t>Ramipril, lisinopril, perindopril, enalapril</w:t>
      </w:r>
    </w:p>
    <w:p w14:paraId="02824C00" w14:textId="63EB708C" w:rsidR="00C92231" w:rsidRPr="00C92231" w:rsidRDefault="00C92231" w:rsidP="00C92231">
      <w:pPr>
        <w:pStyle w:val="ListParagraph"/>
        <w:numPr>
          <w:ilvl w:val="0"/>
          <w:numId w:val="2"/>
        </w:numPr>
        <w:rPr>
          <w:b/>
          <w:bCs/>
          <w:color w:val="1F4E79" w:themeColor="accent5" w:themeShade="80"/>
          <w:sz w:val="28"/>
          <w:szCs w:val="28"/>
        </w:rPr>
      </w:pPr>
      <w:r w:rsidRPr="00C92231">
        <w:rPr>
          <w:b/>
          <w:bCs/>
          <w:color w:val="1F4E79" w:themeColor="accent5" w:themeShade="80"/>
          <w:sz w:val="28"/>
          <w:szCs w:val="28"/>
        </w:rPr>
        <w:t>Angiotensin Receptor Blockers (ARBs)</w:t>
      </w:r>
    </w:p>
    <w:p w14:paraId="2E86D999" w14:textId="49E58000" w:rsidR="00C92231" w:rsidRPr="00C92231" w:rsidRDefault="00C92231" w:rsidP="00C92231">
      <w:pPr>
        <w:pStyle w:val="ListParagraph"/>
        <w:rPr>
          <w:b/>
          <w:bCs/>
          <w:color w:val="1F4E79" w:themeColor="accent5" w:themeShade="80"/>
          <w:sz w:val="28"/>
          <w:szCs w:val="28"/>
        </w:rPr>
      </w:pPr>
      <w:r w:rsidRPr="00C92231">
        <w:rPr>
          <w:b/>
          <w:bCs/>
          <w:color w:val="1F4E79" w:themeColor="accent5" w:themeShade="80"/>
          <w:sz w:val="28"/>
          <w:szCs w:val="28"/>
        </w:rPr>
        <w:t>Losartan, valsartan, candesartan</w:t>
      </w:r>
    </w:p>
    <w:p w14:paraId="557F8757" w14:textId="046C4B75" w:rsidR="00C92231" w:rsidRPr="00C92231" w:rsidRDefault="00C92231" w:rsidP="00C92231">
      <w:pPr>
        <w:pStyle w:val="ListParagraph"/>
        <w:numPr>
          <w:ilvl w:val="0"/>
          <w:numId w:val="2"/>
        </w:numPr>
        <w:rPr>
          <w:b/>
          <w:bCs/>
          <w:color w:val="1F4E79" w:themeColor="accent5" w:themeShade="80"/>
          <w:sz w:val="28"/>
          <w:szCs w:val="28"/>
        </w:rPr>
      </w:pPr>
      <w:r w:rsidRPr="00C92231">
        <w:rPr>
          <w:b/>
          <w:bCs/>
          <w:color w:val="1F4E79" w:themeColor="accent5" w:themeShade="80"/>
          <w:sz w:val="28"/>
          <w:szCs w:val="28"/>
        </w:rPr>
        <w:t xml:space="preserve">Diuretics </w:t>
      </w:r>
    </w:p>
    <w:p w14:paraId="4997779C" w14:textId="26DC7BDF" w:rsidR="00C92231" w:rsidRPr="00C92231" w:rsidRDefault="00C92231" w:rsidP="00C92231">
      <w:pPr>
        <w:pStyle w:val="ListParagraph"/>
        <w:rPr>
          <w:b/>
          <w:bCs/>
          <w:color w:val="1F4E79" w:themeColor="accent5" w:themeShade="80"/>
          <w:sz w:val="28"/>
          <w:szCs w:val="28"/>
        </w:rPr>
      </w:pPr>
      <w:r w:rsidRPr="00C92231">
        <w:rPr>
          <w:b/>
          <w:bCs/>
          <w:color w:val="1F4E79" w:themeColor="accent5" w:themeShade="80"/>
          <w:sz w:val="28"/>
          <w:szCs w:val="28"/>
        </w:rPr>
        <w:t xml:space="preserve">Furosemide, </w:t>
      </w:r>
      <w:r w:rsidR="009D5F71" w:rsidRPr="00C92231">
        <w:rPr>
          <w:b/>
          <w:bCs/>
          <w:color w:val="1F4E79" w:themeColor="accent5" w:themeShade="80"/>
          <w:sz w:val="28"/>
          <w:szCs w:val="28"/>
        </w:rPr>
        <w:t>hydrochlorothiazide</w:t>
      </w:r>
      <w:r w:rsidRPr="00C92231">
        <w:rPr>
          <w:b/>
          <w:bCs/>
          <w:color w:val="1F4E79" w:themeColor="accent5" w:themeShade="80"/>
          <w:sz w:val="28"/>
          <w:szCs w:val="28"/>
        </w:rPr>
        <w:t>, bumetanide, spironolactone</w:t>
      </w:r>
    </w:p>
    <w:p w14:paraId="6B8CE97F" w14:textId="589AFCBD" w:rsidR="00C92231" w:rsidRPr="00C92231" w:rsidRDefault="00C92231" w:rsidP="00C92231">
      <w:pPr>
        <w:pStyle w:val="ListParagraph"/>
        <w:numPr>
          <w:ilvl w:val="0"/>
          <w:numId w:val="2"/>
        </w:numPr>
        <w:rPr>
          <w:b/>
          <w:bCs/>
          <w:color w:val="1F4E79" w:themeColor="accent5" w:themeShade="80"/>
          <w:sz w:val="28"/>
          <w:szCs w:val="28"/>
        </w:rPr>
      </w:pPr>
      <w:r w:rsidRPr="00C92231">
        <w:rPr>
          <w:b/>
          <w:bCs/>
          <w:color w:val="1F4E79" w:themeColor="accent5" w:themeShade="80"/>
          <w:sz w:val="28"/>
          <w:szCs w:val="28"/>
        </w:rPr>
        <w:t>Metformin</w:t>
      </w:r>
    </w:p>
    <w:p w14:paraId="4CDEBF3E" w14:textId="06A79B10" w:rsidR="00C92231" w:rsidRPr="00C92231" w:rsidRDefault="00C92231" w:rsidP="00C92231">
      <w:pPr>
        <w:pStyle w:val="ListParagraph"/>
        <w:numPr>
          <w:ilvl w:val="0"/>
          <w:numId w:val="2"/>
        </w:numPr>
        <w:rPr>
          <w:b/>
          <w:bCs/>
          <w:color w:val="1F4E79" w:themeColor="accent5" w:themeShade="80"/>
          <w:sz w:val="28"/>
          <w:szCs w:val="28"/>
        </w:rPr>
      </w:pPr>
      <w:r w:rsidRPr="00C92231">
        <w:rPr>
          <w:b/>
          <w:bCs/>
          <w:color w:val="1F4E79" w:themeColor="accent5" w:themeShade="80"/>
          <w:sz w:val="28"/>
          <w:szCs w:val="28"/>
        </w:rPr>
        <w:t>NSAIDs</w:t>
      </w:r>
    </w:p>
    <w:p w14:paraId="66F47699" w14:textId="203FA80B" w:rsidR="00C92231" w:rsidRDefault="00C92231" w:rsidP="00C92231">
      <w:pPr>
        <w:pStyle w:val="ListParagraph"/>
        <w:rPr>
          <w:b/>
          <w:bCs/>
          <w:color w:val="1F4E79" w:themeColor="accent5" w:themeShade="80"/>
          <w:sz w:val="28"/>
          <w:szCs w:val="28"/>
        </w:rPr>
      </w:pPr>
      <w:r w:rsidRPr="00C92231">
        <w:rPr>
          <w:b/>
          <w:bCs/>
          <w:color w:val="1F4E79" w:themeColor="accent5" w:themeShade="80"/>
          <w:sz w:val="28"/>
          <w:szCs w:val="28"/>
        </w:rPr>
        <w:t>Ibuprofen, diclofenac, naproxen</w:t>
      </w:r>
    </w:p>
    <w:p w14:paraId="20CD0863" w14:textId="129D1E99" w:rsidR="00B13B65" w:rsidRDefault="00B13B65" w:rsidP="00B13B65">
      <w:pPr>
        <w:pStyle w:val="ListParagraph"/>
        <w:numPr>
          <w:ilvl w:val="0"/>
          <w:numId w:val="2"/>
        </w:numPr>
        <w:rPr>
          <w:b/>
          <w:bCs/>
          <w:color w:val="1F4E79" w:themeColor="accent5" w:themeShade="80"/>
          <w:sz w:val="28"/>
          <w:szCs w:val="28"/>
        </w:rPr>
      </w:pPr>
      <w:r>
        <w:rPr>
          <w:b/>
          <w:bCs/>
          <w:color w:val="1F4E79" w:themeColor="accent5" w:themeShade="80"/>
          <w:sz w:val="28"/>
          <w:szCs w:val="28"/>
        </w:rPr>
        <w:t>Digoxin</w:t>
      </w:r>
    </w:p>
    <w:p w14:paraId="30AB8915" w14:textId="1FD71F90" w:rsidR="00B13B65" w:rsidRPr="00B13B65" w:rsidRDefault="00B13B65" w:rsidP="00B13B65">
      <w:pPr>
        <w:pStyle w:val="ListParagraph"/>
        <w:numPr>
          <w:ilvl w:val="0"/>
          <w:numId w:val="2"/>
        </w:numPr>
        <w:rPr>
          <w:b/>
          <w:bCs/>
          <w:color w:val="1F4E79" w:themeColor="accent5" w:themeShade="80"/>
          <w:sz w:val="28"/>
          <w:szCs w:val="28"/>
        </w:rPr>
      </w:pPr>
      <w:r>
        <w:rPr>
          <w:b/>
          <w:bCs/>
          <w:color w:val="1F4E79" w:themeColor="accent5" w:themeShade="80"/>
          <w:sz w:val="28"/>
          <w:szCs w:val="28"/>
        </w:rPr>
        <w:t>Lithium</w:t>
      </w:r>
    </w:p>
    <w:p w14:paraId="10F2C8BB" w14:textId="6B32C515" w:rsidR="00C92231" w:rsidRPr="00C92231" w:rsidRDefault="00C92231" w:rsidP="00C92231">
      <w:pPr>
        <w:rPr>
          <w:b/>
          <w:bCs/>
          <w:color w:val="1F4E79" w:themeColor="accent5" w:themeShade="80"/>
          <w:sz w:val="28"/>
          <w:szCs w:val="28"/>
        </w:rPr>
      </w:pPr>
    </w:p>
    <w:p w14:paraId="15BFAF91" w14:textId="25E37769" w:rsidR="00C92231" w:rsidRPr="00C92231" w:rsidRDefault="00C92231" w:rsidP="00C92231">
      <w:pPr>
        <w:rPr>
          <w:b/>
          <w:bCs/>
          <w:color w:val="1F4E79" w:themeColor="accent5" w:themeShade="80"/>
          <w:sz w:val="28"/>
          <w:szCs w:val="28"/>
        </w:rPr>
      </w:pPr>
      <w:r w:rsidRPr="00C92231">
        <w:rPr>
          <w:b/>
          <w:bCs/>
          <w:color w:val="1F4E79" w:themeColor="accent5" w:themeShade="80"/>
          <w:sz w:val="28"/>
          <w:szCs w:val="28"/>
        </w:rPr>
        <w:t>ACE inhibitors, ARBs and NSAIDs can impair the function of the kidneys. Dehydration can exacerbate this and result in an Acute Kidney Injury (AKI).</w:t>
      </w:r>
    </w:p>
    <w:p w14:paraId="2268B3FD" w14:textId="3361F330" w:rsidR="00C92231" w:rsidRPr="00C92231" w:rsidRDefault="00C92231" w:rsidP="00C92231">
      <w:pPr>
        <w:rPr>
          <w:b/>
          <w:bCs/>
          <w:color w:val="1F4E79" w:themeColor="accent5" w:themeShade="80"/>
          <w:sz w:val="28"/>
          <w:szCs w:val="28"/>
        </w:rPr>
      </w:pPr>
      <w:r w:rsidRPr="00C92231">
        <w:rPr>
          <w:b/>
          <w:bCs/>
          <w:color w:val="1F4E79" w:themeColor="accent5" w:themeShade="80"/>
          <w:sz w:val="28"/>
          <w:szCs w:val="28"/>
        </w:rPr>
        <w:t>Diuretics can cause or exacerbate dehydration in unwell residents.</w:t>
      </w:r>
    </w:p>
    <w:p w14:paraId="4FBB532D" w14:textId="75653DE0" w:rsidR="00C92231" w:rsidRPr="00C92231" w:rsidRDefault="00C92231" w:rsidP="00C92231">
      <w:pPr>
        <w:rPr>
          <w:b/>
          <w:bCs/>
          <w:color w:val="1F4E79" w:themeColor="accent5" w:themeShade="80"/>
          <w:sz w:val="28"/>
          <w:szCs w:val="28"/>
        </w:rPr>
      </w:pPr>
      <w:r w:rsidRPr="00C92231">
        <w:rPr>
          <w:b/>
          <w:bCs/>
          <w:color w:val="1F4E79" w:themeColor="accent5" w:themeShade="80"/>
          <w:sz w:val="28"/>
          <w:szCs w:val="28"/>
        </w:rPr>
        <w:t xml:space="preserve">Dehydrated residents who take metformin are at risk of lactic acidosis which is very serious and potentially life-threatening. </w:t>
      </w:r>
    </w:p>
    <w:p w14:paraId="4803A260" w14:textId="72B258AD" w:rsidR="00C92231" w:rsidRPr="00C92231" w:rsidRDefault="00C92231" w:rsidP="00C92231">
      <w:pPr>
        <w:rPr>
          <w:b/>
          <w:bCs/>
          <w:color w:val="1F4E79" w:themeColor="accent5" w:themeShade="80"/>
          <w:sz w:val="28"/>
          <w:szCs w:val="28"/>
        </w:rPr>
      </w:pPr>
      <w:r w:rsidRPr="00C92231">
        <w:rPr>
          <w:b/>
          <w:bCs/>
          <w:color w:val="1F4E79" w:themeColor="accent5" w:themeShade="80"/>
          <w:sz w:val="28"/>
          <w:szCs w:val="28"/>
        </w:rPr>
        <w:t xml:space="preserve">Always contact the GP before </w:t>
      </w:r>
      <w:proofErr w:type="gramStart"/>
      <w:r w:rsidRPr="00C92231">
        <w:rPr>
          <w:b/>
          <w:bCs/>
          <w:color w:val="1F4E79" w:themeColor="accent5" w:themeShade="80"/>
          <w:sz w:val="28"/>
          <w:szCs w:val="28"/>
        </w:rPr>
        <w:t>taking action</w:t>
      </w:r>
      <w:proofErr w:type="gramEnd"/>
      <w:r w:rsidRPr="00C92231">
        <w:rPr>
          <w:b/>
          <w:bCs/>
          <w:color w:val="1F4E79" w:themeColor="accent5" w:themeShade="80"/>
          <w:sz w:val="28"/>
          <w:szCs w:val="28"/>
        </w:rPr>
        <w:t xml:space="preserve"> but be aware of residents who are taking these medications and act quickly when necessary. </w:t>
      </w:r>
    </w:p>
    <w:p w14:paraId="3B54EA96" w14:textId="38B99E34" w:rsidR="00C92231" w:rsidRPr="00C92231" w:rsidRDefault="00B13B65" w:rsidP="00C92231">
      <w:pPr>
        <w:rPr>
          <w:b/>
          <w:bCs/>
          <w:color w:val="1F4E79" w:themeColor="accent5" w:themeShade="80"/>
          <w:sz w:val="28"/>
          <w:szCs w:val="28"/>
        </w:rPr>
      </w:pPr>
      <w:r>
        <w:rPr>
          <w:b/>
          <w:bCs/>
          <w:color w:val="1F4E79" w:themeColor="accent5" w:themeShade="80"/>
          <w:sz w:val="28"/>
          <w:szCs w:val="28"/>
        </w:rPr>
        <w:t xml:space="preserve">Digoxin and lithium </w:t>
      </w:r>
      <w:r w:rsidR="00D12AA8">
        <w:rPr>
          <w:b/>
          <w:bCs/>
          <w:color w:val="1F4E79" w:themeColor="accent5" w:themeShade="80"/>
          <w:sz w:val="28"/>
          <w:szCs w:val="28"/>
        </w:rPr>
        <w:t xml:space="preserve">can be toxic in dehydrated residents. </w:t>
      </w:r>
    </w:p>
    <w:sectPr w:rsidR="00C92231" w:rsidRPr="00C92231" w:rsidSect="00C92231">
      <w:headerReference w:type="default" r:id="rId10"/>
      <w:footerReference w:type="default" r:id="rId11"/>
      <w:pgSz w:w="11906" w:h="16838"/>
      <w:pgMar w:top="1440" w:right="1440" w:bottom="1440" w:left="1440" w:header="708" w:footer="708" w:gutter="0"/>
      <w:pgBorders w:offsetFrom="page">
        <w:top w:val="single" w:sz="24" w:space="24" w:color="2E74B5" w:themeColor="accent5" w:themeShade="BF"/>
        <w:left w:val="single" w:sz="24" w:space="24" w:color="2E74B5" w:themeColor="accent5" w:themeShade="BF"/>
        <w:bottom w:val="single" w:sz="24" w:space="24" w:color="2E74B5" w:themeColor="accent5" w:themeShade="BF"/>
        <w:right w:val="single" w:sz="24" w:space="24" w:color="2E74B5" w:themeColor="accent5" w:themeShade="BF"/>
      </w:pgBorders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194A4AF" w14:textId="77777777" w:rsidR="00026DF5" w:rsidRDefault="00026DF5" w:rsidP="00C92231">
      <w:pPr>
        <w:spacing w:after="0" w:line="240" w:lineRule="auto"/>
      </w:pPr>
      <w:r>
        <w:separator/>
      </w:r>
    </w:p>
  </w:endnote>
  <w:endnote w:type="continuationSeparator" w:id="0">
    <w:p w14:paraId="7E84412C" w14:textId="77777777" w:rsidR="00026DF5" w:rsidRDefault="00026DF5" w:rsidP="00C9223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838B5B7" w14:textId="0D478753" w:rsidR="00C92231" w:rsidRDefault="00C92231">
    <w:pPr>
      <w:pStyle w:val="Footer"/>
    </w:pPr>
    <w:r>
      <w:t>Sick Day Rules</w:t>
    </w:r>
    <w:r>
      <w:tab/>
    </w:r>
    <w:r>
      <w:tab/>
    </w:r>
    <w:r w:rsidR="009D5F71">
      <w:t>Heather Evans February 2025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3CC64DD" w14:textId="77777777" w:rsidR="00026DF5" w:rsidRDefault="00026DF5" w:rsidP="00C92231">
      <w:pPr>
        <w:spacing w:after="0" w:line="240" w:lineRule="auto"/>
      </w:pPr>
      <w:r>
        <w:separator/>
      </w:r>
    </w:p>
  </w:footnote>
  <w:footnote w:type="continuationSeparator" w:id="0">
    <w:p w14:paraId="5642EE94" w14:textId="77777777" w:rsidR="00026DF5" w:rsidRDefault="00026DF5" w:rsidP="00C9223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8C726B4" w14:textId="1DA037AC" w:rsidR="00C92231" w:rsidRDefault="00C92231">
    <w:pPr>
      <w:pStyle w:val="Header"/>
    </w:pPr>
    <w:r w:rsidRPr="00C92231">
      <w:rPr>
        <w:noProof/>
        <w:color w:val="1F4E79" w:themeColor="accent5" w:themeShade="80"/>
        <w:sz w:val="48"/>
        <w:szCs w:val="48"/>
      </w:rPr>
      <w:drawing>
        <wp:anchor distT="0" distB="0" distL="114300" distR="114300" simplePos="0" relativeHeight="251659264" behindDoc="1" locked="0" layoutInCell="1" allowOverlap="1" wp14:anchorId="43E7A4B3" wp14:editId="7244F7B7">
          <wp:simplePos x="0" y="0"/>
          <wp:positionH relativeFrom="column">
            <wp:posOffset>3552825</wp:posOffset>
          </wp:positionH>
          <wp:positionV relativeFrom="paragraph">
            <wp:posOffset>-48260</wp:posOffset>
          </wp:positionV>
          <wp:extent cx="2743200" cy="803275"/>
          <wp:effectExtent l="0" t="0" r="0" b="0"/>
          <wp:wrapTight wrapText="bothSides">
            <wp:wrapPolygon edited="0">
              <wp:start x="0" y="0"/>
              <wp:lineTo x="0" y="21002"/>
              <wp:lineTo x="21450" y="21002"/>
              <wp:lineTo x="21450" y="0"/>
              <wp:lineTo x="0" y="0"/>
            </wp:wrapPolygon>
          </wp:wrapTight>
          <wp:docPr id="1" name="Picture 1" descr="Graphical user interface, application&#10;&#10;Description automatically generated with medium confidenc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Picture 1" descr="Graphical user interface, application&#10;&#10;Description automatically generated with medium confidence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743200" cy="8032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Pr="00C92231">
      <w:rPr>
        <w:color w:val="1F4E79" w:themeColor="accent5" w:themeShade="80"/>
        <w:sz w:val="48"/>
        <w:szCs w:val="48"/>
      </w:rPr>
      <w:t>Sick</w:t>
    </w:r>
    <w:r w:rsidRPr="00C92231">
      <w:rPr>
        <w:color w:val="1F4E79" w:themeColor="accent5" w:themeShade="80"/>
      </w:rPr>
      <w:t xml:space="preserve"> </w:t>
    </w:r>
    <w:r w:rsidRPr="00C92231">
      <w:rPr>
        <w:color w:val="1F4E79" w:themeColor="accent5" w:themeShade="80"/>
        <w:sz w:val="44"/>
        <w:szCs w:val="44"/>
      </w:rPr>
      <w:t>Day Rules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D30285"/>
    <w:multiLevelType w:val="hybridMultilevel"/>
    <w:tmpl w:val="045451F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B864DD1"/>
    <w:multiLevelType w:val="hybridMultilevel"/>
    <w:tmpl w:val="42A89A1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939030053">
    <w:abstractNumId w:val="1"/>
  </w:num>
  <w:num w:numId="2" w16cid:durableId="154409449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92231"/>
    <w:rsid w:val="00026DF5"/>
    <w:rsid w:val="0014289D"/>
    <w:rsid w:val="00222BA9"/>
    <w:rsid w:val="00765D1F"/>
    <w:rsid w:val="009D5F71"/>
    <w:rsid w:val="00B13B65"/>
    <w:rsid w:val="00B27221"/>
    <w:rsid w:val="00C92231"/>
    <w:rsid w:val="00D12AA8"/>
    <w:rsid w:val="00D310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9499194"/>
  <w15:chartTrackingRefBased/>
  <w15:docId w15:val="{A7CF61F5-75F8-47E8-8C60-A2A13B3D49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C92231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C92231"/>
  </w:style>
  <w:style w:type="paragraph" w:styleId="Footer">
    <w:name w:val="footer"/>
    <w:basedOn w:val="Normal"/>
    <w:link w:val="FooterChar"/>
    <w:uiPriority w:val="99"/>
    <w:unhideWhenUsed/>
    <w:rsid w:val="00C92231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92231"/>
  </w:style>
  <w:style w:type="paragraph" w:styleId="ListParagraph">
    <w:name w:val="List Paragraph"/>
    <w:basedOn w:val="Normal"/>
    <w:uiPriority w:val="34"/>
    <w:qFormat/>
    <w:rsid w:val="00C9223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6414e7a8-3859-4baa-9b8d-a01e638680ef" xsi:nil="true"/>
    <lcf76f155ced4ddcb4097134ff3c332f xmlns="a52a7c76-ceac-446d-ac85-cb82d00e3116">
      <Terms xmlns="http://schemas.microsoft.com/office/infopath/2007/PartnerControls"/>
    </lcf76f155ced4ddcb4097134ff3c332f>
    <Finalised_x003f_ xmlns="a52a7c76-ceac-446d-ac85-cb82d00e3116">false</Finalised_x003f_>
    <Order0 xmlns="a52a7c76-ceac-446d-ac85-cb82d00e3116" xsi:nil="true"/>
    <ResponsiblePerson xmlns="a52a7c76-ceac-446d-ac85-cb82d00e3116">
      <UserInfo>
        <DisplayName/>
        <AccountId xsi:nil="true"/>
        <AccountType/>
      </UserInfo>
    </ResponsiblePerson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DB2B7C0C690E14C94B6F77A615DD9D7" ma:contentTypeVersion="20" ma:contentTypeDescription="Create a new document." ma:contentTypeScope="" ma:versionID="ad3b0ba5862fe96e95c6177193a01d50">
  <xsd:schema xmlns:xsd="http://www.w3.org/2001/XMLSchema" xmlns:xs="http://www.w3.org/2001/XMLSchema" xmlns:p="http://schemas.microsoft.com/office/2006/metadata/properties" xmlns:ns2="a52a7c76-ceac-446d-ac85-cb82d00e3116" xmlns:ns3="6414e7a8-3859-4baa-9b8d-a01e638680ef" targetNamespace="http://schemas.microsoft.com/office/2006/metadata/properties" ma:root="true" ma:fieldsID="148f812bdc9a7740e0db16433a080bc2" ns2:_="" ns3:_="">
    <xsd:import namespace="a52a7c76-ceac-446d-ac85-cb82d00e3116"/>
    <xsd:import namespace="6414e7a8-3859-4baa-9b8d-a01e638680ef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LengthInSeconds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Location" minOccurs="0"/>
                <xsd:element ref="ns2:MediaServiceObjectDetectorVersions" minOccurs="0"/>
                <xsd:element ref="ns2:Order0" minOccurs="0"/>
                <xsd:element ref="ns2:ResponsiblePerson" minOccurs="0"/>
                <xsd:element ref="ns2:Finalised_x003f_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52a7c76-ceac-446d-ac85-cb82d00e311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3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7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20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1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22" nillable="true" ma:displayName="Location" ma:internalName="MediaServiceLocation" ma:readOnly="true">
      <xsd:simpleType>
        <xsd:restriction base="dms:Text"/>
      </xsd:simpleType>
    </xsd:element>
    <xsd:element name="MediaServiceObjectDetectorVersions" ma:index="23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Order0" ma:index="24" nillable="true" ma:displayName="Order" ma:format="Dropdown" ma:internalName="Order0" ma:percentage="FALSE">
      <xsd:simpleType>
        <xsd:restriction base="dms:Number"/>
      </xsd:simpleType>
    </xsd:element>
    <xsd:element name="ResponsiblePerson" ma:index="25" nillable="true" ma:displayName="Responsible Person" ma:format="Dropdown" ma:list="UserInfo" ma:SharePointGroup="0" ma:internalName="ResponsiblePerson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Finalised_x003f_" ma:index="26" nillable="true" ma:displayName="Finalised?" ma:default="0" ma:format="Dropdown" ma:internalName="Finalised_x003f_">
      <xsd:simpleType>
        <xsd:restriction base="dms:Boolean"/>
      </xsd:simpleType>
    </xsd:element>
    <xsd:element name="MediaServiceSearchProperties" ma:index="27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414e7a8-3859-4baa-9b8d-a01e638680ef" elementFormDefault="qualified">
    <xsd:import namespace="http://schemas.microsoft.com/office/2006/documentManagement/types"/>
    <xsd:import namespace="http://schemas.microsoft.com/office/infopath/2007/PartnerControls"/>
    <xsd:element name="SharedWithUsers" ma:index="14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5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8" nillable="true" ma:displayName="Taxonomy Catch All Column" ma:hidden="true" ma:list="{5f54a8a4-824f-473f-a529-3e4d4e1429f1}" ma:internalName="TaxCatchAll" ma:showField="CatchAllData" ma:web="6414e7a8-3859-4baa-9b8d-a01e638680ef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DC71AF7F-25B4-49B3-84EB-FE8BA52BA673}">
  <ds:schemaRefs>
    <ds:schemaRef ds:uri="http://schemas.microsoft.com/office/2006/metadata/properties"/>
    <ds:schemaRef ds:uri="http://schemas.microsoft.com/office/infopath/2007/PartnerControls"/>
    <ds:schemaRef ds:uri="6414e7a8-3859-4baa-9b8d-a01e638680ef"/>
    <ds:schemaRef ds:uri="a52a7c76-ceac-446d-ac85-cb82d00e3116"/>
  </ds:schemaRefs>
</ds:datastoreItem>
</file>

<file path=customXml/itemProps2.xml><?xml version="1.0" encoding="utf-8"?>
<ds:datastoreItem xmlns:ds="http://schemas.openxmlformats.org/officeDocument/2006/customXml" ds:itemID="{8B389DDE-A85D-469E-9367-2581A0F06B8F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9C2D4EC1-27AC-4009-8A58-6B9EB83D2267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1</Pages>
  <Words>167</Words>
  <Characters>958</Characters>
  <Application>Microsoft Office Word</Application>
  <DocSecurity>0</DocSecurity>
  <Lines>7</Lines>
  <Paragraphs>2</Paragraphs>
  <ScaleCrop>false</ScaleCrop>
  <Company>Bwrdd Iechyd Addysgu Powys Teaching Health Board</Company>
  <LinksUpToDate>false</LinksUpToDate>
  <CharactersWithSpaces>1123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Sarah Kelsall (PTHB – Pharmacy &amp; Medicines Management)</dc:creator>
  <cp:keywords/>
  <dc:description/>
  <cp:lastModifiedBy>Heather Evans (PTHB - Medicines Management)</cp:lastModifiedBy>
  <cp:revision>6</cp:revision>
  <dcterms:created xsi:type="dcterms:W3CDTF">2023-04-11T09:38:00Z</dcterms:created>
  <dcterms:modified xsi:type="dcterms:W3CDTF">2025-02-26T14:50:00Z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0x0101003DB2B7C0C690E14C94B6F77A615DD9D7</vt:lpwstr>
  </property>
  <property fmtid="{D5CDD505-2E9C-101B-9397-08002B2CF9AE}" pid="3" name="MediaServiceImageTags">
    <vt:lpwstr/>
  </property>
</Properties>
</file>