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96B780" w14:textId="77777777" w:rsidR="00F84507" w:rsidRDefault="00F84507" w:rsidP="00F84507">
      <w:pPr>
        <w:jc w:val="center"/>
        <w:rPr>
          <w:b/>
          <w:bCs/>
          <w:color w:val="2F5496" w:themeColor="accent1" w:themeShade="BF"/>
          <w:sz w:val="28"/>
          <w:szCs w:val="28"/>
        </w:rPr>
      </w:pPr>
    </w:p>
    <w:p w14:paraId="39BE6A98" w14:textId="7317D6C2" w:rsidR="004352AC" w:rsidRPr="009F6A18" w:rsidRDefault="00643F37" w:rsidP="00F84507">
      <w:pPr>
        <w:jc w:val="center"/>
        <w:rPr>
          <w:b/>
          <w:bCs/>
          <w:color w:val="1F3864" w:themeColor="accent1" w:themeShade="80"/>
          <w:sz w:val="28"/>
          <w:szCs w:val="28"/>
        </w:rPr>
      </w:pPr>
      <w:r w:rsidRPr="009F6A18">
        <w:rPr>
          <w:b/>
          <w:bCs/>
          <w:color w:val="1F3864" w:themeColor="accent1" w:themeShade="80"/>
          <w:sz w:val="28"/>
          <w:szCs w:val="28"/>
        </w:rPr>
        <w:t>The right dressing for the right patient at the right time</w:t>
      </w:r>
    </w:p>
    <w:p w14:paraId="709723B9" w14:textId="1CFE7408" w:rsidR="00CC3167" w:rsidRPr="007C42CC" w:rsidRDefault="00CC3167" w:rsidP="00CC3167">
      <w:pPr>
        <w:jc w:val="center"/>
      </w:pPr>
      <w:r w:rsidRPr="007C42CC">
        <w:t xml:space="preserve">Silver (Ag) dressings are a topical antimicrobial dressing which provide prolonged antimicrobial effects to control or reduce bioburden of wounds. In theory this instils broad uses for this form of dressing, but evidence from clinical trials has yet to prove their efficiency especially against potential side effects and toxicity.  This means silver dressings should be limited to </w:t>
      </w:r>
      <w:r w:rsidRPr="001E7D59">
        <w:rPr>
          <w:b/>
          <w:bCs/>
          <w:sz w:val="26"/>
          <w:szCs w:val="26"/>
        </w:rPr>
        <w:t>2 weeks</w:t>
      </w:r>
      <w:r w:rsidRPr="007C42CC">
        <w:t xml:space="preserve"> usage for wounds that show sings and symptoms of infection and discontinued as soon as the infection is controlled.</w:t>
      </w:r>
    </w:p>
    <w:p w14:paraId="2F147119" w14:textId="582DDA28" w:rsidR="00CC3167" w:rsidRPr="009F6A18" w:rsidRDefault="00CC3167" w:rsidP="00CC3167">
      <w:pPr>
        <w:jc w:val="center"/>
        <w:rPr>
          <w:b/>
          <w:bCs/>
          <w:color w:val="1F3864" w:themeColor="accent1" w:themeShade="80"/>
          <w:sz w:val="28"/>
          <w:szCs w:val="28"/>
        </w:rPr>
      </w:pPr>
      <w:r w:rsidRPr="009F6A18">
        <w:rPr>
          <w:b/>
          <w:bCs/>
          <w:color w:val="1F3864" w:themeColor="accent1" w:themeShade="80"/>
          <w:sz w:val="28"/>
          <w:szCs w:val="28"/>
        </w:rPr>
        <w:t>Why only 2 weeks usage?</w:t>
      </w:r>
    </w:p>
    <w:p w14:paraId="40455828" w14:textId="0BC98704" w:rsidR="004352AC" w:rsidRPr="007C42CC" w:rsidRDefault="00CC3167" w:rsidP="00CC3167">
      <w:pPr>
        <w:jc w:val="center"/>
      </w:pPr>
      <w:r w:rsidRPr="007C42CC">
        <w:t>Inappropriate/over usage of silver dressings can cause bacterial resistance, toxicity, side effects and potentially delay wound healing.  They are also more expensive than standard dressings.</w:t>
      </w:r>
    </w:p>
    <w:tbl>
      <w:tblPr>
        <w:tblStyle w:val="TableGrid"/>
        <w:tblW w:w="10083" w:type="dxa"/>
        <w:tblInd w:w="-459" w:type="dxa"/>
        <w:tblLayout w:type="fixed"/>
        <w:tblLook w:val="04A0" w:firstRow="1" w:lastRow="0" w:firstColumn="1" w:lastColumn="0" w:noHBand="0" w:noVBand="1"/>
      </w:tblPr>
      <w:tblGrid>
        <w:gridCol w:w="4962"/>
        <w:gridCol w:w="3987"/>
        <w:gridCol w:w="1134"/>
      </w:tblGrid>
      <w:tr w:rsidR="00F84507" w14:paraId="382305D4" w14:textId="77777777" w:rsidTr="003E44F3">
        <w:trPr>
          <w:trHeight w:val="2138"/>
        </w:trPr>
        <w:tc>
          <w:tcPr>
            <w:tcW w:w="4962" w:type="dxa"/>
            <w:tcBorders>
              <w:top w:val="single" w:sz="12" w:space="0" w:color="auto"/>
              <w:left w:val="single" w:sz="12" w:space="0" w:color="auto"/>
              <w:bottom w:val="single" w:sz="12" w:space="0" w:color="auto"/>
              <w:right w:val="single" w:sz="12" w:space="0" w:color="auto"/>
            </w:tcBorders>
            <w:shd w:val="clear" w:color="auto" w:fill="D9E2F3" w:themeFill="accent1" w:themeFillTint="33"/>
            <w:vAlign w:val="center"/>
          </w:tcPr>
          <w:p w14:paraId="1899A700" w14:textId="77777777" w:rsidR="009D6A28" w:rsidRPr="003D1702" w:rsidRDefault="009D6A28" w:rsidP="0071364B">
            <w:pPr>
              <w:rPr>
                <w:b/>
                <w:bCs/>
                <w:sz w:val="24"/>
                <w:szCs w:val="24"/>
              </w:rPr>
            </w:pPr>
            <w:r w:rsidRPr="003D1702">
              <w:rPr>
                <w:b/>
                <w:bCs/>
                <w:sz w:val="24"/>
                <w:szCs w:val="24"/>
              </w:rPr>
              <w:t>Silver Dressings are used for:</w:t>
            </w:r>
          </w:p>
          <w:p w14:paraId="3C060AD8" w14:textId="77777777" w:rsidR="009D6A28" w:rsidRPr="001620ED" w:rsidRDefault="009D6A28" w:rsidP="0071364B">
            <w:pPr>
              <w:pStyle w:val="ListParagraph"/>
              <w:numPr>
                <w:ilvl w:val="0"/>
                <w:numId w:val="1"/>
              </w:numPr>
              <w:rPr>
                <w:sz w:val="18"/>
                <w:szCs w:val="18"/>
              </w:rPr>
            </w:pPr>
            <w:r w:rsidRPr="001620ED">
              <w:rPr>
                <w:sz w:val="18"/>
                <w:szCs w:val="18"/>
              </w:rPr>
              <w:t>Infected wounds</w:t>
            </w:r>
          </w:p>
          <w:p w14:paraId="1F3549E2" w14:textId="205D0E28" w:rsidR="009D6A28" w:rsidRDefault="009D6A28" w:rsidP="0071364B">
            <w:pPr>
              <w:pStyle w:val="ListParagraph"/>
              <w:numPr>
                <w:ilvl w:val="0"/>
                <w:numId w:val="1"/>
              </w:numPr>
            </w:pPr>
            <w:r w:rsidRPr="001620ED">
              <w:rPr>
                <w:sz w:val="18"/>
                <w:szCs w:val="18"/>
              </w:rPr>
              <w:t>Suspected biofilm (Tissue Viability Service initiation ONLY</w:t>
            </w:r>
            <w:r w:rsidR="00116B6A">
              <w:rPr>
                <w:sz w:val="18"/>
                <w:szCs w:val="18"/>
              </w:rPr>
              <w:t>)</w:t>
            </w:r>
          </w:p>
        </w:tc>
        <w:tc>
          <w:tcPr>
            <w:tcW w:w="5121" w:type="dxa"/>
            <w:gridSpan w:val="2"/>
            <w:tcBorders>
              <w:top w:val="single" w:sz="12" w:space="0" w:color="auto"/>
              <w:left w:val="single" w:sz="12" w:space="0" w:color="auto"/>
              <w:bottom w:val="single" w:sz="12" w:space="0" w:color="auto"/>
              <w:right w:val="single" w:sz="12" w:space="0" w:color="auto"/>
            </w:tcBorders>
            <w:shd w:val="clear" w:color="auto" w:fill="D9E2F3" w:themeFill="accent1" w:themeFillTint="33"/>
            <w:vAlign w:val="center"/>
          </w:tcPr>
          <w:p w14:paraId="6455E74A" w14:textId="77777777" w:rsidR="009D6A28" w:rsidRPr="003D1702" w:rsidRDefault="009D6A28" w:rsidP="00AA0C9C">
            <w:pPr>
              <w:rPr>
                <w:b/>
                <w:bCs/>
                <w:sz w:val="24"/>
                <w:szCs w:val="24"/>
              </w:rPr>
            </w:pPr>
            <w:r w:rsidRPr="003D1702">
              <w:rPr>
                <w:b/>
                <w:bCs/>
                <w:sz w:val="24"/>
                <w:szCs w:val="24"/>
              </w:rPr>
              <w:t>Do not use silver dressings:</w:t>
            </w:r>
          </w:p>
          <w:p w14:paraId="4B21BCEB" w14:textId="77777777" w:rsidR="009D6A28" w:rsidRPr="001620ED" w:rsidRDefault="009D6A28" w:rsidP="00AA0C9C">
            <w:pPr>
              <w:pStyle w:val="ListParagraph"/>
              <w:numPr>
                <w:ilvl w:val="0"/>
                <w:numId w:val="2"/>
              </w:numPr>
              <w:rPr>
                <w:sz w:val="18"/>
                <w:szCs w:val="18"/>
              </w:rPr>
            </w:pPr>
            <w:r w:rsidRPr="001620ED">
              <w:rPr>
                <w:sz w:val="18"/>
                <w:szCs w:val="18"/>
              </w:rPr>
              <w:t>If the patient is allergic/hypersensitive to silver</w:t>
            </w:r>
          </w:p>
          <w:p w14:paraId="73328108" w14:textId="77777777" w:rsidR="009D6A28" w:rsidRPr="001620ED" w:rsidRDefault="009D6A28" w:rsidP="00AA0C9C">
            <w:pPr>
              <w:pStyle w:val="ListParagraph"/>
              <w:numPr>
                <w:ilvl w:val="0"/>
                <w:numId w:val="2"/>
              </w:numPr>
              <w:rPr>
                <w:sz w:val="18"/>
                <w:szCs w:val="18"/>
              </w:rPr>
            </w:pPr>
            <w:r w:rsidRPr="001620ED">
              <w:rPr>
                <w:sz w:val="18"/>
                <w:szCs w:val="18"/>
              </w:rPr>
              <w:t>On acute wounds (may delay healing)</w:t>
            </w:r>
          </w:p>
          <w:p w14:paraId="7AE70660" w14:textId="77777777" w:rsidR="009D6A28" w:rsidRPr="001620ED" w:rsidRDefault="009D6A28" w:rsidP="00AA0C9C">
            <w:pPr>
              <w:pStyle w:val="ListParagraph"/>
              <w:numPr>
                <w:ilvl w:val="0"/>
                <w:numId w:val="2"/>
              </w:numPr>
              <w:rPr>
                <w:sz w:val="18"/>
                <w:szCs w:val="18"/>
              </w:rPr>
            </w:pPr>
            <w:r w:rsidRPr="001620ED">
              <w:rPr>
                <w:sz w:val="18"/>
                <w:szCs w:val="18"/>
              </w:rPr>
              <w:t>If there are no signs of infection</w:t>
            </w:r>
          </w:p>
          <w:p w14:paraId="4B58468E" w14:textId="77777777" w:rsidR="009D6A28" w:rsidRPr="001620ED" w:rsidRDefault="009D6A28" w:rsidP="00AA0C9C">
            <w:pPr>
              <w:pStyle w:val="ListParagraph"/>
              <w:numPr>
                <w:ilvl w:val="0"/>
                <w:numId w:val="2"/>
              </w:numPr>
              <w:rPr>
                <w:sz w:val="18"/>
                <w:szCs w:val="18"/>
              </w:rPr>
            </w:pPr>
            <w:r w:rsidRPr="001620ED">
              <w:rPr>
                <w:sz w:val="18"/>
                <w:szCs w:val="18"/>
              </w:rPr>
              <w:t>For more than 4 weeks</w:t>
            </w:r>
          </w:p>
          <w:p w14:paraId="1BBB884C" w14:textId="77777777" w:rsidR="009D6A28" w:rsidRPr="001620ED" w:rsidRDefault="009D6A28" w:rsidP="00AA0C9C">
            <w:pPr>
              <w:pStyle w:val="ListParagraph"/>
              <w:numPr>
                <w:ilvl w:val="0"/>
                <w:numId w:val="2"/>
              </w:numPr>
              <w:rPr>
                <w:sz w:val="18"/>
                <w:szCs w:val="18"/>
              </w:rPr>
            </w:pPr>
            <w:r w:rsidRPr="001620ED">
              <w:rPr>
                <w:sz w:val="18"/>
                <w:szCs w:val="18"/>
              </w:rPr>
              <w:t>If the patient declines</w:t>
            </w:r>
          </w:p>
          <w:p w14:paraId="3CB335B8" w14:textId="77777777" w:rsidR="009D6A28" w:rsidRPr="001620ED" w:rsidRDefault="009D6A28" w:rsidP="00AA0C9C">
            <w:pPr>
              <w:pStyle w:val="ListParagraph"/>
              <w:numPr>
                <w:ilvl w:val="0"/>
                <w:numId w:val="2"/>
              </w:numPr>
              <w:rPr>
                <w:sz w:val="18"/>
                <w:szCs w:val="18"/>
              </w:rPr>
            </w:pPr>
            <w:r w:rsidRPr="001620ED">
              <w:rPr>
                <w:sz w:val="18"/>
                <w:szCs w:val="18"/>
              </w:rPr>
              <w:t>If undergoing MRI examinations or radiation therapy</w:t>
            </w:r>
          </w:p>
          <w:p w14:paraId="5A6036CC" w14:textId="3FAD626D" w:rsidR="009D6A28" w:rsidRDefault="009D6A28" w:rsidP="00AA0C9C">
            <w:pPr>
              <w:pStyle w:val="ListParagraph"/>
              <w:numPr>
                <w:ilvl w:val="0"/>
                <w:numId w:val="2"/>
              </w:numPr>
            </w:pPr>
            <w:r w:rsidRPr="001620ED">
              <w:rPr>
                <w:sz w:val="18"/>
                <w:szCs w:val="18"/>
              </w:rPr>
              <w:t>In combination with oil-based products</w:t>
            </w:r>
          </w:p>
        </w:tc>
      </w:tr>
      <w:tr w:rsidR="009D6A28" w14:paraId="30860A32" w14:textId="77777777" w:rsidTr="003E44F3">
        <w:trPr>
          <w:trHeight w:val="2367"/>
        </w:trPr>
        <w:tc>
          <w:tcPr>
            <w:tcW w:w="8949" w:type="dxa"/>
            <w:gridSpan w:val="2"/>
            <w:tcBorders>
              <w:left w:val="single" w:sz="12" w:space="0" w:color="auto"/>
              <w:bottom w:val="single" w:sz="12" w:space="0" w:color="auto"/>
              <w:right w:val="single" w:sz="12" w:space="0" w:color="auto"/>
            </w:tcBorders>
            <w:shd w:val="clear" w:color="auto" w:fill="C8D6EE"/>
            <w:vAlign w:val="center"/>
          </w:tcPr>
          <w:p w14:paraId="298CB398" w14:textId="77777777" w:rsidR="009D6A28" w:rsidRPr="003D1702" w:rsidRDefault="009D6A28" w:rsidP="00AA0C9C">
            <w:pPr>
              <w:rPr>
                <w:b/>
                <w:bCs/>
                <w:sz w:val="24"/>
                <w:szCs w:val="24"/>
              </w:rPr>
            </w:pPr>
            <w:r w:rsidRPr="003D1702">
              <w:rPr>
                <w:b/>
                <w:bCs/>
                <w:sz w:val="24"/>
                <w:szCs w:val="24"/>
              </w:rPr>
              <w:t>Top tips for prescribing silver dressings:</w:t>
            </w:r>
          </w:p>
          <w:p w14:paraId="6FCAEFF7" w14:textId="77777777" w:rsidR="009D6A28" w:rsidRPr="001620ED" w:rsidRDefault="001A2F88" w:rsidP="00AA0C9C">
            <w:pPr>
              <w:pStyle w:val="ListParagraph"/>
              <w:numPr>
                <w:ilvl w:val="0"/>
                <w:numId w:val="3"/>
              </w:numPr>
              <w:rPr>
                <w:sz w:val="18"/>
                <w:szCs w:val="18"/>
              </w:rPr>
            </w:pPr>
            <w:r w:rsidRPr="001620ED">
              <w:rPr>
                <w:sz w:val="18"/>
                <w:szCs w:val="18"/>
              </w:rPr>
              <w:t xml:space="preserve">Always issue as an </w:t>
            </w:r>
            <w:r w:rsidRPr="001620ED">
              <w:rPr>
                <w:b/>
                <w:bCs/>
                <w:sz w:val="18"/>
                <w:szCs w:val="18"/>
              </w:rPr>
              <w:t xml:space="preserve">acute </w:t>
            </w:r>
            <w:r w:rsidRPr="001620ED">
              <w:rPr>
                <w:sz w:val="18"/>
                <w:szCs w:val="18"/>
              </w:rPr>
              <w:t>prescription</w:t>
            </w:r>
          </w:p>
          <w:p w14:paraId="298611C1" w14:textId="6C4642CE" w:rsidR="001A2F88" w:rsidRPr="001620ED" w:rsidRDefault="001A2F88" w:rsidP="00AA0C9C">
            <w:pPr>
              <w:pStyle w:val="ListParagraph"/>
              <w:numPr>
                <w:ilvl w:val="0"/>
                <w:numId w:val="3"/>
              </w:numPr>
              <w:rPr>
                <w:sz w:val="18"/>
                <w:szCs w:val="18"/>
              </w:rPr>
            </w:pPr>
            <w:r w:rsidRPr="001620ED">
              <w:rPr>
                <w:sz w:val="18"/>
                <w:szCs w:val="18"/>
              </w:rPr>
              <w:t>Silver dressings can remain in situ for 3-7 days</w:t>
            </w:r>
            <w:r w:rsidR="00CC3167" w:rsidRPr="001620ED">
              <w:rPr>
                <w:sz w:val="18"/>
                <w:szCs w:val="18"/>
              </w:rPr>
              <w:t xml:space="preserve"> depending </w:t>
            </w:r>
            <w:r w:rsidR="00F75E6C" w:rsidRPr="001620ED">
              <w:rPr>
                <w:sz w:val="18"/>
                <w:szCs w:val="18"/>
              </w:rPr>
              <w:t xml:space="preserve">on the wound exudate (secondary dressings can be changed when required instead). </w:t>
            </w:r>
            <w:r w:rsidR="00F75E6C" w:rsidRPr="001620ED">
              <w:rPr>
                <w:b/>
                <w:bCs/>
                <w:sz w:val="18"/>
                <w:szCs w:val="18"/>
              </w:rPr>
              <w:t>If more frequent primary dressing changes are required, silver dressings are not appropriate</w:t>
            </w:r>
          </w:p>
          <w:p w14:paraId="56B7324F" w14:textId="77777777" w:rsidR="00F75E6C" w:rsidRPr="001620ED" w:rsidRDefault="00D37DFA" w:rsidP="00AA0C9C">
            <w:pPr>
              <w:pStyle w:val="ListParagraph"/>
              <w:numPr>
                <w:ilvl w:val="0"/>
                <w:numId w:val="3"/>
              </w:numPr>
              <w:rPr>
                <w:sz w:val="18"/>
                <w:szCs w:val="18"/>
              </w:rPr>
            </w:pPr>
            <w:r w:rsidRPr="001620ED">
              <w:rPr>
                <w:b/>
                <w:bCs/>
                <w:sz w:val="18"/>
                <w:szCs w:val="18"/>
              </w:rPr>
              <w:t>Issue a 2 week quantity only</w:t>
            </w:r>
            <w:r w:rsidRPr="001620ED">
              <w:rPr>
                <w:sz w:val="18"/>
                <w:szCs w:val="18"/>
              </w:rPr>
              <w:t xml:space="preserve"> (5 dressings per infected wound will often last 2 weeks and allows for dressing to be changed every 3 days)</w:t>
            </w:r>
          </w:p>
          <w:p w14:paraId="633D204D" w14:textId="77777777" w:rsidR="00D37DFA" w:rsidRPr="001620ED" w:rsidRDefault="00D37DFA" w:rsidP="00AA0C9C">
            <w:pPr>
              <w:pStyle w:val="ListParagraph"/>
              <w:numPr>
                <w:ilvl w:val="0"/>
                <w:numId w:val="3"/>
              </w:numPr>
              <w:rPr>
                <w:b/>
                <w:bCs/>
                <w:sz w:val="18"/>
                <w:szCs w:val="18"/>
              </w:rPr>
            </w:pPr>
            <w:r w:rsidRPr="001620ED">
              <w:rPr>
                <w:b/>
                <w:bCs/>
                <w:sz w:val="18"/>
                <w:szCs w:val="18"/>
              </w:rPr>
              <w:t>Discontinue silver dressings as soon as infection is under control</w:t>
            </w:r>
          </w:p>
          <w:p w14:paraId="7C96B5FA" w14:textId="77777777" w:rsidR="00D37DFA" w:rsidRPr="001620ED" w:rsidRDefault="00D37DFA" w:rsidP="00AA0C9C">
            <w:pPr>
              <w:pStyle w:val="ListParagraph"/>
              <w:numPr>
                <w:ilvl w:val="0"/>
                <w:numId w:val="3"/>
              </w:numPr>
              <w:rPr>
                <w:sz w:val="18"/>
                <w:szCs w:val="18"/>
              </w:rPr>
            </w:pPr>
            <w:r w:rsidRPr="001620ED">
              <w:rPr>
                <w:sz w:val="18"/>
                <w:szCs w:val="18"/>
              </w:rPr>
              <w:t>Ensure appropriate size is used</w:t>
            </w:r>
          </w:p>
          <w:p w14:paraId="50E43568" w14:textId="329C8FA8" w:rsidR="00D37DFA" w:rsidRDefault="00D37DFA" w:rsidP="00AA0C9C">
            <w:pPr>
              <w:pStyle w:val="ListParagraph"/>
              <w:numPr>
                <w:ilvl w:val="0"/>
                <w:numId w:val="3"/>
              </w:numPr>
            </w:pPr>
            <w:r w:rsidRPr="001620ED">
              <w:rPr>
                <w:sz w:val="18"/>
                <w:szCs w:val="18"/>
              </w:rPr>
              <w:t>Clearly document dressing plans within patient records including step down</w:t>
            </w:r>
          </w:p>
        </w:tc>
        <w:tc>
          <w:tcPr>
            <w:tcW w:w="1134" w:type="dxa"/>
            <w:vMerge w:val="restart"/>
            <w:tcBorders>
              <w:top w:val="single" w:sz="12" w:space="0" w:color="auto"/>
              <w:left w:val="single" w:sz="12" w:space="0" w:color="auto"/>
              <w:right w:val="single" w:sz="12" w:space="0" w:color="auto"/>
            </w:tcBorders>
          </w:tcPr>
          <w:p w14:paraId="41DC03AE" w14:textId="41415E76" w:rsidR="009D6A28" w:rsidRDefault="00D37DFA" w:rsidP="00D37DFA">
            <w:pPr>
              <w:jc w:val="center"/>
            </w:pPr>
            <w:r w:rsidRPr="00D37DFA">
              <w:rPr>
                <w:noProof/>
              </w:rPr>
              <w:drawing>
                <wp:inline distT="0" distB="0" distL="0" distR="0" wp14:anchorId="03D19E3A" wp14:editId="32115257">
                  <wp:extent cx="638175" cy="2638425"/>
                  <wp:effectExtent l="0" t="0" r="9525" b="9525"/>
                  <wp:docPr id="21253049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5304932" name=""/>
                          <pic:cNvPicPr/>
                        </pic:nvPicPr>
                        <pic:blipFill>
                          <a:blip r:embed="rId10"/>
                          <a:stretch>
                            <a:fillRect/>
                          </a:stretch>
                        </pic:blipFill>
                        <pic:spPr>
                          <a:xfrm>
                            <a:off x="0" y="0"/>
                            <a:ext cx="638182" cy="2638454"/>
                          </a:xfrm>
                          <a:prstGeom prst="rect">
                            <a:avLst/>
                          </a:prstGeom>
                        </pic:spPr>
                      </pic:pic>
                    </a:graphicData>
                  </a:graphic>
                </wp:inline>
              </w:drawing>
            </w:r>
          </w:p>
        </w:tc>
      </w:tr>
      <w:tr w:rsidR="009D6A28" w14:paraId="7D1E287A" w14:textId="77777777" w:rsidTr="003E44F3">
        <w:trPr>
          <w:trHeight w:val="1551"/>
        </w:trPr>
        <w:tc>
          <w:tcPr>
            <w:tcW w:w="8949" w:type="dxa"/>
            <w:gridSpan w:val="2"/>
            <w:tcBorders>
              <w:top w:val="single" w:sz="12" w:space="0" w:color="auto"/>
              <w:left w:val="single" w:sz="12" w:space="0" w:color="auto"/>
              <w:bottom w:val="single" w:sz="12" w:space="0" w:color="auto"/>
              <w:right w:val="single" w:sz="12" w:space="0" w:color="auto"/>
            </w:tcBorders>
            <w:shd w:val="clear" w:color="auto" w:fill="D9E2F3" w:themeFill="accent1" w:themeFillTint="33"/>
            <w:vAlign w:val="center"/>
          </w:tcPr>
          <w:p w14:paraId="32149F90" w14:textId="77777777" w:rsidR="009D6A28" w:rsidRPr="003D1702" w:rsidRDefault="00D37DFA" w:rsidP="00AA0C9C">
            <w:pPr>
              <w:jc w:val="center"/>
              <w:rPr>
                <w:b/>
                <w:bCs/>
                <w:sz w:val="24"/>
                <w:szCs w:val="24"/>
              </w:rPr>
            </w:pPr>
            <w:r w:rsidRPr="003D1702">
              <w:rPr>
                <w:b/>
                <w:bCs/>
                <w:sz w:val="24"/>
                <w:szCs w:val="24"/>
              </w:rPr>
              <w:t>T.I.M.E.S wound assessment guide</w:t>
            </w:r>
          </w:p>
          <w:p w14:paraId="5564ECE7" w14:textId="77777777" w:rsidR="00904CA4" w:rsidRPr="001620ED" w:rsidRDefault="00D37DFA" w:rsidP="00AA0C9C">
            <w:pPr>
              <w:rPr>
                <w:sz w:val="18"/>
                <w:szCs w:val="18"/>
              </w:rPr>
            </w:pPr>
            <w:r w:rsidRPr="001620ED">
              <w:rPr>
                <w:b/>
                <w:bCs/>
                <w:sz w:val="18"/>
                <w:szCs w:val="18"/>
              </w:rPr>
              <w:t>T = Tissue Type</w:t>
            </w:r>
            <w:r w:rsidRPr="001620ED">
              <w:rPr>
                <w:sz w:val="18"/>
                <w:szCs w:val="18"/>
              </w:rPr>
              <w:t xml:space="preserve"> </w:t>
            </w:r>
            <w:r w:rsidR="00904CA4" w:rsidRPr="001620ED">
              <w:rPr>
                <w:sz w:val="18"/>
                <w:szCs w:val="18"/>
              </w:rPr>
              <w:t xml:space="preserve">- </w:t>
            </w:r>
            <w:r w:rsidRPr="001620ED">
              <w:rPr>
                <w:sz w:val="18"/>
                <w:szCs w:val="18"/>
              </w:rPr>
              <w:t>Viable: continue as healthy granulation present</w:t>
            </w:r>
            <w:r w:rsidR="00904CA4" w:rsidRPr="001620ED">
              <w:rPr>
                <w:sz w:val="18"/>
                <w:szCs w:val="18"/>
              </w:rPr>
              <w:t xml:space="preserve">. </w:t>
            </w:r>
          </w:p>
          <w:p w14:paraId="1A918E98" w14:textId="3F25DB26" w:rsidR="00904CA4" w:rsidRPr="001620ED" w:rsidRDefault="00904CA4" w:rsidP="00B41C8A">
            <w:pPr>
              <w:rPr>
                <w:sz w:val="18"/>
                <w:szCs w:val="18"/>
              </w:rPr>
            </w:pPr>
            <w:r w:rsidRPr="001620ED">
              <w:rPr>
                <w:sz w:val="18"/>
                <w:szCs w:val="18"/>
              </w:rPr>
              <w:t xml:space="preserve">                             </w:t>
            </w:r>
            <w:r w:rsidR="00F84507" w:rsidRPr="001620ED">
              <w:rPr>
                <w:sz w:val="18"/>
                <w:szCs w:val="18"/>
              </w:rPr>
              <w:t xml:space="preserve"> </w:t>
            </w:r>
            <w:r w:rsidRPr="001620ED">
              <w:rPr>
                <w:sz w:val="18"/>
                <w:szCs w:val="18"/>
              </w:rPr>
              <w:t xml:space="preserve"> Non-viable: consider debridement options before continuing treatment</w:t>
            </w:r>
          </w:p>
          <w:p w14:paraId="21B3DB1D" w14:textId="46934F8F" w:rsidR="00904CA4" w:rsidRPr="001620ED" w:rsidRDefault="00904CA4" w:rsidP="00AA0C9C">
            <w:pPr>
              <w:rPr>
                <w:sz w:val="18"/>
                <w:szCs w:val="18"/>
              </w:rPr>
            </w:pPr>
            <w:r w:rsidRPr="001620ED">
              <w:rPr>
                <w:b/>
                <w:bCs/>
                <w:sz w:val="18"/>
                <w:szCs w:val="18"/>
              </w:rPr>
              <w:t>I = Inflammation/Infection</w:t>
            </w:r>
            <w:r w:rsidRPr="001620ED">
              <w:rPr>
                <w:sz w:val="18"/>
                <w:szCs w:val="18"/>
              </w:rPr>
              <w:t xml:space="preserve"> - review pathway if wound if wound is infected</w:t>
            </w:r>
          </w:p>
          <w:p w14:paraId="26B126EB" w14:textId="2E92C650" w:rsidR="00904CA4" w:rsidRPr="001620ED" w:rsidRDefault="00904CA4" w:rsidP="00AA0C9C">
            <w:pPr>
              <w:rPr>
                <w:sz w:val="18"/>
                <w:szCs w:val="18"/>
              </w:rPr>
            </w:pPr>
            <w:r w:rsidRPr="001620ED">
              <w:rPr>
                <w:b/>
                <w:bCs/>
                <w:sz w:val="18"/>
                <w:szCs w:val="18"/>
              </w:rPr>
              <w:t>M = Moisture levels -</w:t>
            </w:r>
            <w:r w:rsidRPr="001620ED">
              <w:rPr>
                <w:sz w:val="18"/>
                <w:szCs w:val="18"/>
              </w:rPr>
              <w:t xml:space="preserve"> aim for a moist healing environment</w:t>
            </w:r>
          </w:p>
          <w:p w14:paraId="58E999D3" w14:textId="01DCBC49" w:rsidR="00904CA4" w:rsidRPr="001620ED" w:rsidRDefault="00904CA4" w:rsidP="00AA0C9C">
            <w:pPr>
              <w:rPr>
                <w:sz w:val="18"/>
                <w:szCs w:val="18"/>
              </w:rPr>
            </w:pPr>
            <w:r w:rsidRPr="001620ED">
              <w:rPr>
                <w:b/>
                <w:bCs/>
                <w:sz w:val="18"/>
                <w:szCs w:val="18"/>
              </w:rPr>
              <w:t>E = Edge -</w:t>
            </w:r>
            <w:r w:rsidRPr="001620ED">
              <w:rPr>
                <w:sz w:val="18"/>
                <w:szCs w:val="18"/>
              </w:rPr>
              <w:t xml:space="preserve"> is epithelisation present in the wound edge?</w:t>
            </w:r>
          </w:p>
          <w:p w14:paraId="4153E385" w14:textId="615EA67D" w:rsidR="00904CA4" w:rsidRDefault="00904CA4" w:rsidP="00AA0C9C">
            <w:r w:rsidRPr="001620ED">
              <w:rPr>
                <w:b/>
                <w:bCs/>
                <w:sz w:val="18"/>
                <w:szCs w:val="18"/>
              </w:rPr>
              <w:t>S = Surrounding Skin</w:t>
            </w:r>
            <w:r w:rsidRPr="001620ED">
              <w:rPr>
                <w:sz w:val="18"/>
                <w:szCs w:val="18"/>
              </w:rPr>
              <w:t xml:space="preserve"> – appropriate skin care should be preferred. If no progress observed review wound at </w:t>
            </w:r>
            <w:r w:rsidRPr="001620ED">
              <w:rPr>
                <w:b/>
                <w:bCs/>
                <w:sz w:val="18"/>
                <w:szCs w:val="18"/>
              </w:rPr>
              <w:t>T of Times</w:t>
            </w:r>
          </w:p>
        </w:tc>
        <w:tc>
          <w:tcPr>
            <w:tcW w:w="1134" w:type="dxa"/>
            <w:vMerge/>
            <w:tcBorders>
              <w:left w:val="single" w:sz="12" w:space="0" w:color="auto"/>
              <w:right w:val="single" w:sz="12" w:space="0" w:color="auto"/>
            </w:tcBorders>
          </w:tcPr>
          <w:p w14:paraId="794C3F1D" w14:textId="359C1EBC" w:rsidR="009D6A28" w:rsidRDefault="009D6A28"/>
        </w:tc>
      </w:tr>
      <w:tr w:rsidR="009D6A28" w14:paraId="0C2A3DD6" w14:textId="77777777" w:rsidTr="003E44F3">
        <w:trPr>
          <w:trHeight w:val="2002"/>
        </w:trPr>
        <w:tc>
          <w:tcPr>
            <w:tcW w:w="4962" w:type="dxa"/>
            <w:tcBorders>
              <w:top w:val="single" w:sz="12" w:space="0" w:color="auto"/>
              <w:left w:val="single" w:sz="12" w:space="0" w:color="auto"/>
              <w:bottom w:val="single" w:sz="12" w:space="0" w:color="auto"/>
              <w:right w:val="single" w:sz="12" w:space="0" w:color="auto"/>
            </w:tcBorders>
            <w:shd w:val="clear" w:color="auto" w:fill="C8D6EE"/>
            <w:vAlign w:val="center"/>
          </w:tcPr>
          <w:p w14:paraId="241AB353" w14:textId="74D78878" w:rsidR="00F84507" w:rsidRPr="003D1702" w:rsidRDefault="00904CA4" w:rsidP="003D1702">
            <w:pPr>
              <w:rPr>
                <w:b/>
                <w:bCs/>
                <w:sz w:val="24"/>
                <w:szCs w:val="24"/>
              </w:rPr>
            </w:pPr>
            <w:r w:rsidRPr="003D1702">
              <w:rPr>
                <w:b/>
                <w:bCs/>
                <w:sz w:val="24"/>
                <w:szCs w:val="24"/>
              </w:rPr>
              <w:t>Holistic assessment of patient</w:t>
            </w:r>
          </w:p>
          <w:p w14:paraId="159B0EB9" w14:textId="77777777" w:rsidR="00904CA4" w:rsidRPr="001620ED" w:rsidRDefault="00F84507" w:rsidP="003D1702">
            <w:pPr>
              <w:rPr>
                <w:i/>
                <w:iCs/>
                <w:sz w:val="18"/>
                <w:szCs w:val="18"/>
              </w:rPr>
            </w:pPr>
            <w:r w:rsidRPr="001620ED">
              <w:rPr>
                <w:i/>
                <w:iCs/>
                <w:sz w:val="18"/>
                <w:szCs w:val="18"/>
              </w:rPr>
              <w:t>Consider the following:</w:t>
            </w:r>
          </w:p>
          <w:p w14:paraId="031B4265" w14:textId="77777777" w:rsidR="00F84507" w:rsidRPr="001620ED" w:rsidRDefault="00F84507" w:rsidP="003D1702">
            <w:pPr>
              <w:pStyle w:val="ListParagraph"/>
              <w:numPr>
                <w:ilvl w:val="0"/>
                <w:numId w:val="6"/>
              </w:numPr>
              <w:rPr>
                <w:i/>
                <w:iCs/>
                <w:sz w:val="18"/>
                <w:szCs w:val="18"/>
              </w:rPr>
            </w:pPr>
            <w:r w:rsidRPr="001620ED">
              <w:rPr>
                <w:sz w:val="18"/>
                <w:szCs w:val="18"/>
              </w:rPr>
              <w:t>Nutritional status including fluid intake</w:t>
            </w:r>
          </w:p>
          <w:p w14:paraId="6526D435" w14:textId="77777777" w:rsidR="00F84507" w:rsidRPr="001620ED" w:rsidRDefault="00F84507" w:rsidP="003D1702">
            <w:pPr>
              <w:pStyle w:val="ListParagraph"/>
              <w:numPr>
                <w:ilvl w:val="0"/>
                <w:numId w:val="6"/>
              </w:numPr>
              <w:rPr>
                <w:i/>
                <w:iCs/>
                <w:sz w:val="18"/>
                <w:szCs w:val="18"/>
              </w:rPr>
            </w:pPr>
            <w:r w:rsidRPr="001620ED">
              <w:rPr>
                <w:sz w:val="18"/>
                <w:szCs w:val="18"/>
              </w:rPr>
              <w:t>Co morbidities - are they being managed effectively?</w:t>
            </w:r>
          </w:p>
          <w:p w14:paraId="63313201" w14:textId="77777777" w:rsidR="00F84507" w:rsidRPr="001620ED" w:rsidRDefault="00F84507" w:rsidP="003D1702">
            <w:pPr>
              <w:pStyle w:val="ListParagraph"/>
              <w:numPr>
                <w:ilvl w:val="0"/>
                <w:numId w:val="6"/>
              </w:numPr>
              <w:rPr>
                <w:i/>
                <w:iCs/>
                <w:sz w:val="18"/>
                <w:szCs w:val="18"/>
              </w:rPr>
            </w:pPr>
            <w:r w:rsidRPr="001620ED">
              <w:rPr>
                <w:sz w:val="18"/>
                <w:szCs w:val="18"/>
              </w:rPr>
              <w:t>Medication regimes</w:t>
            </w:r>
          </w:p>
          <w:p w14:paraId="5F158056" w14:textId="77777777" w:rsidR="00F84507" w:rsidRPr="001620ED" w:rsidRDefault="00F84507" w:rsidP="003D1702">
            <w:pPr>
              <w:pStyle w:val="ListParagraph"/>
              <w:numPr>
                <w:ilvl w:val="0"/>
                <w:numId w:val="6"/>
              </w:numPr>
              <w:rPr>
                <w:i/>
                <w:iCs/>
                <w:sz w:val="18"/>
                <w:szCs w:val="18"/>
              </w:rPr>
            </w:pPr>
            <w:r w:rsidRPr="001620ED">
              <w:rPr>
                <w:sz w:val="18"/>
                <w:szCs w:val="18"/>
              </w:rPr>
              <w:t>Compliance with the treatment - is there anything that is preventing compliance?</w:t>
            </w:r>
          </w:p>
          <w:p w14:paraId="0903D4B9" w14:textId="2300AEC9" w:rsidR="00F84507" w:rsidRPr="00F84507" w:rsidRDefault="00F84507" w:rsidP="003D1702">
            <w:pPr>
              <w:pStyle w:val="ListParagraph"/>
              <w:numPr>
                <w:ilvl w:val="0"/>
                <w:numId w:val="6"/>
              </w:numPr>
              <w:rPr>
                <w:i/>
                <w:iCs/>
                <w:sz w:val="20"/>
                <w:szCs w:val="20"/>
              </w:rPr>
            </w:pPr>
            <w:r w:rsidRPr="001620ED">
              <w:rPr>
                <w:sz w:val="18"/>
                <w:szCs w:val="18"/>
              </w:rPr>
              <w:t>Pressure relief equipment</w:t>
            </w:r>
          </w:p>
        </w:tc>
        <w:tc>
          <w:tcPr>
            <w:tcW w:w="5121" w:type="dxa"/>
            <w:gridSpan w:val="2"/>
            <w:tcBorders>
              <w:top w:val="single" w:sz="12" w:space="0" w:color="auto"/>
              <w:left w:val="single" w:sz="12" w:space="0" w:color="auto"/>
              <w:bottom w:val="single" w:sz="12" w:space="0" w:color="auto"/>
              <w:right w:val="single" w:sz="12" w:space="0" w:color="auto"/>
            </w:tcBorders>
            <w:shd w:val="clear" w:color="auto" w:fill="C8D6EE"/>
            <w:vAlign w:val="center"/>
          </w:tcPr>
          <w:p w14:paraId="007178DD" w14:textId="0B9B51BE" w:rsidR="00F84507" w:rsidRPr="003D1702" w:rsidRDefault="00904CA4" w:rsidP="003D1702">
            <w:pPr>
              <w:rPr>
                <w:b/>
                <w:bCs/>
                <w:sz w:val="24"/>
                <w:szCs w:val="24"/>
              </w:rPr>
            </w:pPr>
            <w:r w:rsidRPr="003D1702">
              <w:rPr>
                <w:b/>
                <w:bCs/>
                <w:sz w:val="24"/>
                <w:szCs w:val="24"/>
              </w:rPr>
              <w:t>What is a high-risk patient?</w:t>
            </w:r>
          </w:p>
          <w:p w14:paraId="0D865984" w14:textId="77777777" w:rsidR="00904CA4" w:rsidRPr="001620ED" w:rsidRDefault="00904CA4" w:rsidP="003D1702">
            <w:pPr>
              <w:pStyle w:val="ListParagraph"/>
              <w:numPr>
                <w:ilvl w:val="0"/>
                <w:numId w:val="4"/>
              </w:numPr>
              <w:rPr>
                <w:b/>
                <w:bCs/>
                <w:sz w:val="18"/>
                <w:szCs w:val="18"/>
              </w:rPr>
            </w:pPr>
            <w:r w:rsidRPr="001620ED">
              <w:rPr>
                <w:sz w:val="18"/>
                <w:szCs w:val="18"/>
              </w:rPr>
              <w:t>Co morbidity that alters a patient’s immune response</w:t>
            </w:r>
          </w:p>
          <w:p w14:paraId="1EA84832" w14:textId="77777777" w:rsidR="00904CA4" w:rsidRPr="001620ED" w:rsidRDefault="00904CA4" w:rsidP="003D1702">
            <w:pPr>
              <w:pStyle w:val="ListParagraph"/>
              <w:numPr>
                <w:ilvl w:val="0"/>
                <w:numId w:val="4"/>
              </w:numPr>
              <w:rPr>
                <w:b/>
                <w:bCs/>
                <w:sz w:val="18"/>
                <w:szCs w:val="18"/>
              </w:rPr>
            </w:pPr>
            <w:r w:rsidRPr="001620ED">
              <w:rPr>
                <w:sz w:val="18"/>
                <w:szCs w:val="18"/>
              </w:rPr>
              <w:t>Patient who has had two or more infections within the same wound previously</w:t>
            </w:r>
          </w:p>
          <w:p w14:paraId="63BF5461" w14:textId="77777777" w:rsidR="00904CA4" w:rsidRPr="001620ED" w:rsidRDefault="00904CA4" w:rsidP="003D1702">
            <w:pPr>
              <w:pStyle w:val="ListParagraph"/>
              <w:numPr>
                <w:ilvl w:val="0"/>
                <w:numId w:val="4"/>
              </w:numPr>
              <w:rPr>
                <w:b/>
                <w:bCs/>
                <w:sz w:val="18"/>
                <w:szCs w:val="18"/>
              </w:rPr>
            </w:pPr>
            <w:r w:rsidRPr="001620ED">
              <w:rPr>
                <w:sz w:val="18"/>
                <w:szCs w:val="18"/>
              </w:rPr>
              <w:t>Medications that can alter a patient’s immune response (chemotherapy)</w:t>
            </w:r>
          </w:p>
          <w:p w14:paraId="73046F2E" w14:textId="41600AF6" w:rsidR="00904CA4" w:rsidRPr="00904CA4" w:rsidRDefault="00904CA4" w:rsidP="003D1702">
            <w:pPr>
              <w:pStyle w:val="ListParagraph"/>
              <w:numPr>
                <w:ilvl w:val="0"/>
                <w:numId w:val="4"/>
              </w:numPr>
              <w:rPr>
                <w:b/>
                <w:bCs/>
              </w:rPr>
            </w:pPr>
            <w:r w:rsidRPr="001620ED">
              <w:rPr>
                <w:sz w:val="18"/>
                <w:szCs w:val="18"/>
              </w:rPr>
              <w:t>Diabetic patients Type 1 &amp; 2</w:t>
            </w:r>
          </w:p>
        </w:tc>
      </w:tr>
    </w:tbl>
    <w:p w14:paraId="5B7277BB" w14:textId="5CB78108" w:rsidR="009D6A28" w:rsidRPr="009F6A18" w:rsidRDefault="009D6A28" w:rsidP="00F84507">
      <w:pPr>
        <w:rPr>
          <w:color w:val="1F3864" w:themeColor="accent1" w:themeShade="80"/>
        </w:rPr>
      </w:pPr>
    </w:p>
    <w:p w14:paraId="0EAA0488" w14:textId="77D74A4B" w:rsidR="00F84507" w:rsidRPr="009F6A18" w:rsidRDefault="00F84507" w:rsidP="00F84507">
      <w:pPr>
        <w:jc w:val="center"/>
        <w:rPr>
          <w:b/>
          <w:bCs/>
          <w:color w:val="1F3864" w:themeColor="accent1" w:themeShade="80"/>
        </w:rPr>
      </w:pPr>
      <w:r w:rsidRPr="009F6A18">
        <w:rPr>
          <w:b/>
          <w:bCs/>
          <w:color w:val="1F3864" w:themeColor="accent1" w:themeShade="80"/>
        </w:rPr>
        <w:t xml:space="preserve">Patients with underlying health conditions such as diabetes often have their signs and symptoms of infection masked by their </w:t>
      </w:r>
      <w:proofErr w:type="gramStart"/>
      <w:r w:rsidRPr="009F6A18">
        <w:rPr>
          <w:b/>
          <w:bCs/>
          <w:color w:val="1F3864" w:themeColor="accent1" w:themeShade="80"/>
        </w:rPr>
        <w:t>conditions</w:t>
      </w:r>
      <w:proofErr w:type="gramEnd"/>
    </w:p>
    <w:p w14:paraId="49D659B2" w14:textId="005FD144" w:rsidR="00F84507" w:rsidRPr="009F6A18" w:rsidRDefault="006B17E4" w:rsidP="006B17E4">
      <w:pPr>
        <w:tabs>
          <w:tab w:val="center" w:pos="4513"/>
          <w:tab w:val="right" w:pos="9026"/>
        </w:tabs>
        <w:rPr>
          <w:b/>
          <w:bCs/>
          <w:color w:val="1F3864" w:themeColor="accent1" w:themeShade="80"/>
          <w:sz w:val="28"/>
          <w:szCs w:val="28"/>
        </w:rPr>
      </w:pPr>
      <w:r>
        <w:rPr>
          <w:b/>
          <w:bCs/>
          <w:color w:val="1F3864" w:themeColor="accent1" w:themeShade="80"/>
          <w:sz w:val="28"/>
          <w:szCs w:val="28"/>
        </w:rPr>
        <w:tab/>
      </w:r>
      <w:r w:rsidR="00F84507" w:rsidRPr="009F6A18">
        <w:rPr>
          <w:b/>
          <w:bCs/>
          <w:color w:val="1F3864" w:themeColor="accent1" w:themeShade="80"/>
          <w:sz w:val="28"/>
          <w:szCs w:val="28"/>
        </w:rPr>
        <w:t xml:space="preserve">Use professional judgment when reviewing </w:t>
      </w:r>
      <w:proofErr w:type="gramStart"/>
      <w:r w:rsidR="00F84507" w:rsidRPr="009F6A18">
        <w:rPr>
          <w:b/>
          <w:bCs/>
          <w:color w:val="1F3864" w:themeColor="accent1" w:themeShade="80"/>
          <w:sz w:val="28"/>
          <w:szCs w:val="28"/>
        </w:rPr>
        <w:t>wounds</w:t>
      </w:r>
      <w:proofErr w:type="gramEnd"/>
      <w:r>
        <w:rPr>
          <w:b/>
          <w:bCs/>
          <w:color w:val="1F3864" w:themeColor="accent1" w:themeShade="80"/>
          <w:sz w:val="28"/>
          <w:szCs w:val="28"/>
        </w:rPr>
        <w:tab/>
      </w:r>
    </w:p>
    <w:sectPr w:rsidR="00F84507" w:rsidRPr="009F6A18">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19EAC33" w14:textId="77777777" w:rsidR="00C43909" w:rsidRDefault="00C43909" w:rsidP="004251F1">
      <w:pPr>
        <w:spacing w:after="0" w:line="240" w:lineRule="auto"/>
      </w:pPr>
      <w:r>
        <w:separator/>
      </w:r>
    </w:p>
  </w:endnote>
  <w:endnote w:type="continuationSeparator" w:id="0">
    <w:p w14:paraId="442C0662" w14:textId="77777777" w:rsidR="00C43909" w:rsidRDefault="00C43909" w:rsidP="004251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B3C75A" w14:textId="0677D8D7" w:rsidR="00AD0806" w:rsidRPr="002238ED" w:rsidRDefault="00123B09" w:rsidP="002238ED">
    <w:pPr>
      <w:pStyle w:val="Footer"/>
      <w:jc w:val="center"/>
      <w:rPr>
        <w:color w:val="1F3864" w:themeColor="accent1" w:themeShade="80"/>
        <w:sz w:val="20"/>
        <w:szCs w:val="20"/>
      </w:rPr>
    </w:pPr>
    <w:r>
      <w:rPr>
        <w:noProof/>
        <w:color w:val="1F3864" w:themeColor="accent1" w:themeShade="80"/>
        <w:sz w:val="20"/>
        <w:szCs w:val="20"/>
      </w:rPr>
      <w:pict w14:anchorId="4BDE0EEB">
        <v:shapetype id="_x0000_t202" coordsize="21600,21600" o:spt="202" path="m,l,21600r21600,l21600,xe">
          <v:stroke joinstyle="miter"/>
          <v:path gradientshapeok="t" o:connecttype="rect"/>
        </v:shapetype>
        <v:shape id="_x0000_s1025" type="#_x0000_t202" style="position:absolute;left:0;text-align:left;margin-left:-67.3pt;margin-top:19.45pt;width:135.7pt;height:22.2pt;z-index:251660288" strokecolor="white">
          <v:textbox style="mso-next-textbox:#_x0000_s1025">
            <w:txbxContent>
              <w:p w14:paraId="7F7AF57B" w14:textId="45A8CD43" w:rsidR="002238ED" w:rsidRPr="002238ED" w:rsidRDefault="002238ED" w:rsidP="002238ED">
                <w:pPr>
                  <w:pStyle w:val="Footer"/>
                  <w:rPr>
                    <w:color w:val="1F3864" w:themeColor="accent1" w:themeShade="80"/>
                    <w:sz w:val="20"/>
                    <w:szCs w:val="20"/>
                  </w:rPr>
                </w:pPr>
                <w:r>
                  <w:rPr>
                    <w:color w:val="1F3864" w:themeColor="accent1" w:themeShade="80"/>
                    <w:sz w:val="20"/>
                    <w:szCs w:val="20"/>
                  </w:rPr>
                  <w:t>PTHB review date May 2026</w:t>
                </w:r>
              </w:p>
            </w:txbxContent>
          </v:textbox>
        </v:shape>
      </w:pict>
    </w:r>
    <w:r w:rsidR="00333AD2" w:rsidRPr="001E7D59">
      <w:rPr>
        <w:color w:val="1F3864" w:themeColor="accent1" w:themeShade="80"/>
        <w:sz w:val="20"/>
        <w:szCs w:val="20"/>
      </w:rPr>
      <w:t>With grateful thanks</w:t>
    </w:r>
    <w:r w:rsidR="003E3CCD" w:rsidRPr="001E7D59">
      <w:rPr>
        <w:color w:val="1F3864" w:themeColor="accent1" w:themeShade="80"/>
        <w:sz w:val="20"/>
        <w:szCs w:val="20"/>
      </w:rPr>
      <w:t xml:space="preserve"> to</w:t>
    </w:r>
    <w:r w:rsidR="00333AD2" w:rsidRPr="001E7D59">
      <w:rPr>
        <w:color w:val="1F3864" w:themeColor="accent1" w:themeShade="80"/>
        <w:sz w:val="20"/>
        <w:szCs w:val="20"/>
      </w:rPr>
      <w:t xml:space="preserve"> </w:t>
    </w:r>
    <w:r w:rsidR="00C911CB" w:rsidRPr="001E7D59">
      <w:rPr>
        <w:color w:val="1F3864" w:themeColor="accent1" w:themeShade="80"/>
        <w:sz w:val="20"/>
        <w:szCs w:val="20"/>
      </w:rPr>
      <w:t>Derbyshire</w:t>
    </w:r>
    <w:r w:rsidR="00EA3967" w:rsidRPr="001E7D59">
      <w:rPr>
        <w:color w:val="1F3864" w:themeColor="accent1" w:themeShade="80"/>
        <w:sz w:val="20"/>
        <w:szCs w:val="20"/>
      </w:rPr>
      <w:t xml:space="preserve"> Community Dressing</w:t>
    </w:r>
    <w:r w:rsidR="00C911CB" w:rsidRPr="001E7D59">
      <w:rPr>
        <w:color w:val="1F3864" w:themeColor="accent1" w:themeShade="80"/>
        <w:sz w:val="20"/>
        <w:szCs w:val="20"/>
      </w:rPr>
      <w:t xml:space="preserve"> </w:t>
    </w:r>
    <w:r w:rsidR="00063AFC" w:rsidRPr="001E7D59">
      <w:rPr>
        <w:color w:val="1F3864" w:themeColor="accent1" w:themeShade="80"/>
        <w:sz w:val="20"/>
        <w:szCs w:val="20"/>
      </w:rPr>
      <w:t>F</w:t>
    </w:r>
    <w:r w:rsidR="00C911CB" w:rsidRPr="001E7D59">
      <w:rPr>
        <w:color w:val="1F3864" w:themeColor="accent1" w:themeShade="80"/>
        <w:sz w:val="20"/>
        <w:szCs w:val="20"/>
      </w:rPr>
      <w:t>ormulary</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F034275" w14:textId="77777777" w:rsidR="00C43909" w:rsidRDefault="00C43909" w:rsidP="004251F1">
      <w:pPr>
        <w:spacing w:after="0" w:line="240" w:lineRule="auto"/>
      </w:pPr>
      <w:r>
        <w:separator/>
      </w:r>
    </w:p>
  </w:footnote>
  <w:footnote w:type="continuationSeparator" w:id="0">
    <w:p w14:paraId="28E6D766" w14:textId="77777777" w:rsidR="00C43909" w:rsidRDefault="00C43909" w:rsidP="004251F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28F0AF" w14:textId="1824E871" w:rsidR="004251F1" w:rsidRPr="00F75E6C" w:rsidRDefault="004251F1" w:rsidP="00431C89">
    <w:pPr>
      <w:jc w:val="right"/>
      <w:rPr>
        <w:b/>
        <w:bCs/>
        <w:color w:val="2F5496" w:themeColor="accent1" w:themeShade="BF"/>
        <w:sz w:val="36"/>
        <w:szCs w:val="36"/>
      </w:rPr>
    </w:pPr>
    <w:r w:rsidRPr="00F75E6C">
      <w:rPr>
        <w:b/>
        <w:bCs/>
        <w:noProof/>
        <w:sz w:val="36"/>
        <w:szCs w:val="36"/>
      </w:rPr>
      <w:drawing>
        <wp:anchor distT="0" distB="0" distL="114300" distR="114300" simplePos="0" relativeHeight="251659264" behindDoc="1" locked="0" layoutInCell="1" allowOverlap="1" wp14:anchorId="2E5A81F7" wp14:editId="13A56FD3">
          <wp:simplePos x="0" y="0"/>
          <wp:positionH relativeFrom="column">
            <wp:posOffset>-781050</wp:posOffset>
          </wp:positionH>
          <wp:positionV relativeFrom="paragraph">
            <wp:posOffset>-343535</wp:posOffset>
          </wp:positionV>
          <wp:extent cx="2743200" cy="803275"/>
          <wp:effectExtent l="0" t="0" r="0" b="0"/>
          <wp:wrapTight wrapText="bothSides">
            <wp:wrapPolygon edited="0">
              <wp:start x="0" y="0"/>
              <wp:lineTo x="0" y="21002"/>
              <wp:lineTo x="21450" y="21002"/>
              <wp:lineTo x="21450" y="0"/>
              <wp:lineTo x="0" y="0"/>
            </wp:wrapPolygon>
          </wp:wrapTight>
          <wp:docPr id="1715410513" name="Picture 1715410513"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close-up of a logo&#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43200" cy="803275"/>
                  </a:xfrm>
                  <a:prstGeom prst="rect">
                    <a:avLst/>
                  </a:prstGeom>
                  <a:noFill/>
                  <a:ln>
                    <a:noFill/>
                  </a:ln>
                </pic:spPr>
              </pic:pic>
            </a:graphicData>
          </a:graphic>
        </wp:anchor>
      </w:drawing>
    </w:r>
    <w:r w:rsidR="00431C89" w:rsidRPr="00F75E6C">
      <w:rPr>
        <w:b/>
        <w:bCs/>
        <w:color w:val="2F5496" w:themeColor="accent1" w:themeShade="BF"/>
        <w:sz w:val="36"/>
        <w:szCs w:val="36"/>
      </w:rPr>
      <w:t>Silver Dressing Guidance</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B88610D"/>
    <w:multiLevelType w:val="hybridMultilevel"/>
    <w:tmpl w:val="07C2F9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B8B75BF"/>
    <w:multiLevelType w:val="hybridMultilevel"/>
    <w:tmpl w:val="FEF4A5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D814FBD"/>
    <w:multiLevelType w:val="hybridMultilevel"/>
    <w:tmpl w:val="84DED8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197732D"/>
    <w:multiLevelType w:val="hybridMultilevel"/>
    <w:tmpl w:val="AC8CE6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7318210E"/>
    <w:multiLevelType w:val="hybridMultilevel"/>
    <w:tmpl w:val="839681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7CF75D16"/>
    <w:multiLevelType w:val="hybridMultilevel"/>
    <w:tmpl w:val="C65A194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014959936">
    <w:abstractNumId w:val="2"/>
  </w:num>
  <w:num w:numId="2" w16cid:durableId="1549075780">
    <w:abstractNumId w:val="1"/>
  </w:num>
  <w:num w:numId="3" w16cid:durableId="197670875">
    <w:abstractNumId w:val="5"/>
  </w:num>
  <w:num w:numId="4" w16cid:durableId="586810863">
    <w:abstractNumId w:val="3"/>
  </w:num>
  <w:num w:numId="5" w16cid:durableId="927420664">
    <w:abstractNumId w:val="4"/>
  </w:num>
  <w:num w:numId="6" w16cid:durableId="76711406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5"/>
  <w:proofState w:spelling="clean" w:grammar="clean"/>
  <w:defaultTabStop w:val="720"/>
  <w:characterSpacingControl w:val="doNotCompress"/>
  <w:hdrShapeDefaults>
    <o:shapedefaults v:ext="edit" spidmax="2050">
      <o:colormru v:ext="edit" colors="white"/>
    </o:shapedefaults>
    <o:shapelayout v:ext="edit">
      <o:idmap v:ext="edit" data="1"/>
    </o:shapelayout>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4251F1"/>
    <w:rsid w:val="00025B00"/>
    <w:rsid w:val="00063AFC"/>
    <w:rsid w:val="00116B6A"/>
    <w:rsid w:val="00123B09"/>
    <w:rsid w:val="001620ED"/>
    <w:rsid w:val="001A2F88"/>
    <w:rsid w:val="001E0CDA"/>
    <w:rsid w:val="001E7D59"/>
    <w:rsid w:val="00200CBF"/>
    <w:rsid w:val="002238ED"/>
    <w:rsid w:val="00225580"/>
    <w:rsid w:val="00304E35"/>
    <w:rsid w:val="00333AD2"/>
    <w:rsid w:val="003931E0"/>
    <w:rsid w:val="003D1702"/>
    <w:rsid w:val="003E3CCD"/>
    <w:rsid w:val="003E44F3"/>
    <w:rsid w:val="004251F1"/>
    <w:rsid w:val="00431C89"/>
    <w:rsid w:val="004352AC"/>
    <w:rsid w:val="0049562F"/>
    <w:rsid w:val="004B1A66"/>
    <w:rsid w:val="00503E9E"/>
    <w:rsid w:val="00574C0E"/>
    <w:rsid w:val="00633C0E"/>
    <w:rsid w:val="00643F37"/>
    <w:rsid w:val="0069357D"/>
    <w:rsid w:val="006A5549"/>
    <w:rsid w:val="006B17E4"/>
    <w:rsid w:val="0071364B"/>
    <w:rsid w:val="00772F21"/>
    <w:rsid w:val="007C42CC"/>
    <w:rsid w:val="00813C69"/>
    <w:rsid w:val="0082619C"/>
    <w:rsid w:val="00857BE2"/>
    <w:rsid w:val="00904CA4"/>
    <w:rsid w:val="00911C2F"/>
    <w:rsid w:val="009A64B5"/>
    <w:rsid w:val="009D6A28"/>
    <w:rsid w:val="009F6A18"/>
    <w:rsid w:val="00A209D0"/>
    <w:rsid w:val="00A259B7"/>
    <w:rsid w:val="00AA0C9C"/>
    <w:rsid w:val="00AA3FA7"/>
    <w:rsid w:val="00AD0806"/>
    <w:rsid w:val="00B41C8A"/>
    <w:rsid w:val="00B967A0"/>
    <w:rsid w:val="00C03273"/>
    <w:rsid w:val="00C43909"/>
    <w:rsid w:val="00C911CB"/>
    <w:rsid w:val="00CC3167"/>
    <w:rsid w:val="00D37DFA"/>
    <w:rsid w:val="00D61E4A"/>
    <w:rsid w:val="00EA3967"/>
    <w:rsid w:val="00F75E6C"/>
    <w:rsid w:val="00F8450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white"/>
    </o:shapedefaults>
    <o:shapelayout v:ext="edit">
      <o:idmap v:ext="edit" data="2"/>
    </o:shapelayout>
  </w:shapeDefaults>
  <w:decimalSymbol w:val="."/>
  <w:listSeparator w:val=","/>
  <w14:docId w14:val="1991BE9C"/>
  <w15:docId w15:val="{458442EC-DA4E-4831-894D-5525180438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31C89"/>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431C89"/>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431C89"/>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unhideWhenUsed/>
    <w:qFormat/>
    <w:rsid w:val="00431C89"/>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unhideWhenUsed/>
    <w:qFormat/>
    <w:rsid w:val="00431C89"/>
    <w:pPr>
      <w:keepNext/>
      <w:keepLines/>
      <w:spacing w:before="40" w:after="0"/>
      <w:outlineLvl w:val="4"/>
    </w:pPr>
    <w:rPr>
      <w:rFonts w:asciiTheme="majorHAnsi" w:eastAsiaTheme="majorEastAsia" w:hAnsiTheme="majorHAnsi" w:cstheme="majorBidi"/>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251F1"/>
    <w:pPr>
      <w:tabs>
        <w:tab w:val="center" w:pos="4513"/>
        <w:tab w:val="right" w:pos="9026"/>
      </w:tabs>
      <w:spacing w:after="0" w:line="240" w:lineRule="auto"/>
    </w:pPr>
  </w:style>
  <w:style w:type="character" w:customStyle="1" w:styleId="HeaderChar">
    <w:name w:val="Header Char"/>
    <w:basedOn w:val="DefaultParagraphFont"/>
    <w:link w:val="Header"/>
    <w:uiPriority w:val="99"/>
    <w:rsid w:val="004251F1"/>
  </w:style>
  <w:style w:type="paragraph" w:styleId="Footer">
    <w:name w:val="footer"/>
    <w:basedOn w:val="Normal"/>
    <w:link w:val="FooterChar"/>
    <w:uiPriority w:val="99"/>
    <w:unhideWhenUsed/>
    <w:rsid w:val="004251F1"/>
    <w:pPr>
      <w:tabs>
        <w:tab w:val="center" w:pos="4513"/>
        <w:tab w:val="right" w:pos="9026"/>
      </w:tabs>
      <w:spacing w:after="0" w:line="240" w:lineRule="auto"/>
    </w:pPr>
  </w:style>
  <w:style w:type="character" w:customStyle="1" w:styleId="FooterChar">
    <w:name w:val="Footer Char"/>
    <w:basedOn w:val="DefaultParagraphFont"/>
    <w:link w:val="Footer"/>
    <w:uiPriority w:val="99"/>
    <w:rsid w:val="004251F1"/>
  </w:style>
  <w:style w:type="character" w:customStyle="1" w:styleId="Heading1Char">
    <w:name w:val="Heading 1 Char"/>
    <w:basedOn w:val="DefaultParagraphFont"/>
    <w:link w:val="Heading1"/>
    <w:uiPriority w:val="9"/>
    <w:rsid w:val="00431C89"/>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431C89"/>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431C89"/>
    <w:rPr>
      <w:rFonts w:asciiTheme="majorHAnsi" w:eastAsiaTheme="majorEastAsia" w:hAnsiTheme="majorHAnsi" w:cstheme="majorBidi"/>
      <w:color w:val="1F3763" w:themeColor="accent1" w:themeShade="7F"/>
      <w:sz w:val="24"/>
      <w:szCs w:val="24"/>
    </w:rPr>
  </w:style>
  <w:style w:type="character" w:customStyle="1" w:styleId="Heading4Char">
    <w:name w:val="Heading 4 Char"/>
    <w:basedOn w:val="DefaultParagraphFont"/>
    <w:link w:val="Heading4"/>
    <w:uiPriority w:val="9"/>
    <w:rsid w:val="00431C89"/>
    <w:rPr>
      <w:rFonts w:asciiTheme="majorHAnsi" w:eastAsiaTheme="majorEastAsia" w:hAnsiTheme="majorHAnsi" w:cstheme="majorBidi"/>
      <w:i/>
      <w:iCs/>
      <w:color w:val="2F5496" w:themeColor="accent1" w:themeShade="BF"/>
    </w:rPr>
  </w:style>
  <w:style w:type="character" w:customStyle="1" w:styleId="Heading5Char">
    <w:name w:val="Heading 5 Char"/>
    <w:basedOn w:val="DefaultParagraphFont"/>
    <w:link w:val="Heading5"/>
    <w:uiPriority w:val="9"/>
    <w:rsid w:val="00431C89"/>
    <w:rPr>
      <w:rFonts w:asciiTheme="majorHAnsi" w:eastAsiaTheme="majorEastAsia" w:hAnsiTheme="majorHAnsi" w:cstheme="majorBidi"/>
      <w:color w:val="2F5496" w:themeColor="accent1" w:themeShade="BF"/>
    </w:rPr>
  </w:style>
  <w:style w:type="table" w:styleId="TableGrid">
    <w:name w:val="Table Grid"/>
    <w:basedOn w:val="TableNormal"/>
    <w:uiPriority w:val="39"/>
    <w:rsid w:val="009D6A2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9D6A2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FE862E6E60497C4680C5AB25B02F4E10" ma:contentTypeVersion="14" ma:contentTypeDescription="Create a new document." ma:contentTypeScope="" ma:versionID="891fb8e9895a8a6c8be0a1606e478d5f">
  <xsd:schema xmlns:xsd="http://www.w3.org/2001/XMLSchema" xmlns:xs="http://www.w3.org/2001/XMLSchema" xmlns:p="http://schemas.microsoft.com/office/2006/metadata/properties" xmlns:ns3="c9a6731c-53d6-464c-b253-c810b90fd6a8" xmlns:ns4="7eb3d039-33b6-4495-9bc2-698ff4d5488a" targetNamespace="http://schemas.microsoft.com/office/2006/metadata/properties" ma:root="true" ma:fieldsID="5900cfc91c559f3cfb495d34fc5e82d4" ns3:_="" ns4:_="">
    <xsd:import namespace="c9a6731c-53d6-464c-b253-c810b90fd6a8"/>
    <xsd:import namespace="7eb3d039-33b6-4495-9bc2-698ff4d5488a"/>
    <xsd:element name="properties">
      <xsd:complexType>
        <xsd:sequence>
          <xsd:element name="documentManagement">
            <xsd:complexType>
              <xsd:all>
                <xsd:element ref="ns3:MediaServiceMetadata" minOccurs="0"/>
                <xsd:element ref="ns3:MediaServiceFastMetadata" minOccurs="0"/>
                <xsd:element ref="ns3:_activity" minOccurs="0"/>
                <xsd:element ref="ns3:MediaServiceObjectDetectorVersions" minOccurs="0"/>
                <xsd:element ref="ns4:SharedWithUsers" minOccurs="0"/>
                <xsd:element ref="ns4:SharedWithDetails" minOccurs="0"/>
                <xsd:element ref="ns4:SharingHintHash"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a6731c-53d6-464c-b253-c810b90fd6a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_activity" ma:index="10" nillable="true" ma:displayName="_activity" ma:hidden="true" ma:internalName="_activity">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ServiceSystemTags" ma:index="20" nillable="true" ma:displayName="MediaServiceSystemTags" ma:hidden="true" ma:internalName="MediaServiceSystemTags" ma:readOnly="true">
      <xsd:simpleType>
        <xsd:restriction base="dms:Note"/>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eb3d039-33b6-4495-9bc2-698ff4d5488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c9a6731c-53d6-464c-b253-c810b90fd6a8" xsi:nil="true"/>
  </documentManagement>
</p:properties>
</file>

<file path=customXml/itemProps1.xml><?xml version="1.0" encoding="utf-8"?>
<ds:datastoreItem xmlns:ds="http://schemas.openxmlformats.org/officeDocument/2006/customXml" ds:itemID="{4EAD5805-1541-4867-A52C-6AC25768234A}">
  <ds:schemaRefs>
    <ds:schemaRef ds:uri="http://schemas.microsoft.com/sharepoint/v3/contenttype/forms"/>
  </ds:schemaRefs>
</ds:datastoreItem>
</file>

<file path=customXml/itemProps2.xml><?xml version="1.0" encoding="utf-8"?>
<ds:datastoreItem xmlns:ds="http://schemas.openxmlformats.org/officeDocument/2006/customXml" ds:itemID="{498A0C2B-BD2D-4A73-8AF2-AA0F0191F25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a6731c-53d6-464c-b253-c810b90fd6a8"/>
    <ds:schemaRef ds:uri="7eb3d039-33b6-4495-9bc2-698ff4d548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6E3CDA1-3AEC-4A0A-AA85-7BA7D2063EF3}">
  <ds:schemaRefs>
    <ds:schemaRef ds:uri="http://schemas.microsoft.com/office/2006/metadata/properties"/>
    <ds:schemaRef ds:uri="http://schemas.microsoft.com/office/infopath/2007/PartnerControls"/>
    <ds:schemaRef ds:uri="c9a6731c-53d6-464c-b253-c810b90fd6a8"/>
  </ds:schemaRefs>
</ds:datastoreItem>
</file>

<file path=docProps/app.xml><?xml version="1.0" encoding="utf-8"?>
<Properties xmlns="http://schemas.openxmlformats.org/officeDocument/2006/extended-properties" xmlns:vt="http://schemas.openxmlformats.org/officeDocument/2006/docPropsVTypes">
  <Template>Normal</Template>
  <TotalTime>2783</TotalTime>
  <Pages>1</Pages>
  <Words>453</Words>
  <Characters>2584</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Hannah Gallagher (PTHB – Pharmacy &amp; Medicines Management)</dc:creator>
  <cp:keywords/>
  <dc:description/>
  <cp:lastModifiedBy>Hannah Gallagher (PTHB – Pharmacy &amp; Medicines Management)</cp:lastModifiedBy>
  <cp:revision>22</cp:revision>
  <dcterms:created xsi:type="dcterms:W3CDTF">2024-02-26T13:35:00Z</dcterms:created>
  <dcterms:modified xsi:type="dcterms:W3CDTF">2024-05-07T07:54:00Z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0x010100FE862E6E60497C4680C5AB25B02F4E10</vt:lpwstr>
  </property>
</Properties>
</file>